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62AD" w:rsidRDefault="00F105F2">
      <w:pPr>
        <w:spacing w:after="0" w:line="240" w:lineRule="auto"/>
      </w:pPr>
      <w:bookmarkStart w:id="0" w:name="h.gjdgxs" w:colFirst="0" w:colLast="0"/>
      <w:bookmarkStart w:id="1" w:name="_GoBack"/>
      <w:bookmarkEnd w:id="0"/>
      <w:bookmarkEnd w:id="1"/>
      <w:r>
        <w:rPr>
          <w:noProof/>
        </w:rPr>
        <w:drawing>
          <wp:anchor distT="0" distB="0" distL="114300" distR="114300" simplePos="0" relativeHeight="251658240" behindDoc="0" locked="0" layoutInCell="0" hidden="0" allowOverlap="0" wp14:anchorId="03C559E8" wp14:editId="4516C3C4">
            <wp:simplePos x="0" y="0"/>
            <wp:positionH relativeFrom="margin">
              <wp:posOffset>0</wp:posOffset>
            </wp:positionH>
            <wp:positionV relativeFrom="paragraph">
              <wp:posOffset>-76199</wp:posOffset>
            </wp:positionV>
            <wp:extent cx="812800" cy="381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812800" cy="381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15610FAC" wp14:editId="47A2E850">
            <wp:simplePos x="0" y="0"/>
            <wp:positionH relativeFrom="margin">
              <wp:posOffset>838200</wp:posOffset>
            </wp:positionH>
            <wp:positionV relativeFrom="paragraph">
              <wp:posOffset>-76199</wp:posOffset>
            </wp:positionV>
            <wp:extent cx="6007100" cy="381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6007100" cy="38100"/>
                    </a:xfrm>
                    <a:prstGeom prst="rect">
                      <a:avLst/>
                    </a:prstGeom>
                    <a:ln/>
                  </pic:spPr>
                </pic:pic>
              </a:graphicData>
            </a:graphic>
          </wp:anchor>
        </w:drawing>
      </w:r>
      <w:proofErr w:type="spellStart"/>
      <w:r w:rsidR="007358B7">
        <w:rPr>
          <w:rFonts w:ascii="Cambria" w:eastAsia="Cambria" w:hAnsi="Cambria" w:cs="Cambria"/>
          <w:sz w:val="20"/>
          <w:szCs w:val="20"/>
        </w:rPr>
        <w:t>Vaya</w:t>
      </w:r>
      <w:proofErr w:type="spellEnd"/>
      <w:r>
        <w:rPr>
          <w:rFonts w:ascii="Cambria" w:eastAsia="Cambria" w:hAnsi="Cambria" w:cs="Cambria"/>
          <w:sz w:val="20"/>
          <w:szCs w:val="20"/>
        </w:rPr>
        <w:t xml:space="preserve"> Integrated Care Subcommittee</w:t>
      </w:r>
      <w:r w:rsidR="00E20ED1">
        <w:rPr>
          <w:rFonts w:ascii="Cambria" w:eastAsia="Cambria" w:hAnsi="Cambria" w:cs="Cambria"/>
          <w:sz w:val="20"/>
          <w:szCs w:val="20"/>
        </w:rPr>
        <w:t xml:space="preserve"> Draft Recommendations to PAC</w:t>
      </w:r>
      <w:r w:rsidR="00AA2FD9">
        <w:rPr>
          <w:rFonts w:ascii="Cambria" w:eastAsia="Cambria" w:hAnsi="Cambria" w:cs="Cambria"/>
          <w:b/>
          <w:sz w:val="20"/>
          <w:szCs w:val="20"/>
        </w:rPr>
        <w:tab/>
      </w:r>
      <w:r w:rsidR="00AA2FD9">
        <w:rPr>
          <w:rFonts w:ascii="Cambria" w:eastAsia="Cambria" w:hAnsi="Cambria" w:cs="Cambria"/>
          <w:b/>
          <w:sz w:val="20"/>
          <w:szCs w:val="20"/>
        </w:rPr>
        <w:tab/>
      </w:r>
      <w:r w:rsidR="00AA2FD9">
        <w:rPr>
          <w:rFonts w:ascii="Cambria" w:eastAsia="Cambria" w:hAnsi="Cambria" w:cs="Cambria"/>
          <w:b/>
          <w:sz w:val="20"/>
          <w:szCs w:val="20"/>
        </w:rPr>
        <w:tab/>
        <w:t>Date: 12/6</w:t>
      </w:r>
      <w:r w:rsidR="007358B7">
        <w:rPr>
          <w:rFonts w:ascii="Cambria" w:eastAsia="Cambria" w:hAnsi="Cambria" w:cs="Cambria"/>
          <w:b/>
          <w:sz w:val="20"/>
          <w:szCs w:val="20"/>
        </w:rPr>
        <w:t>/17</w:t>
      </w:r>
    </w:p>
    <w:p w:rsidR="00C1295E" w:rsidRPr="00E20ED1" w:rsidRDefault="00F105F2" w:rsidP="007358B7">
      <w:pPr>
        <w:spacing w:after="0" w:line="240" w:lineRule="auto"/>
      </w:pPr>
      <w:r>
        <w:rPr>
          <w:rFonts w:ascii="Cambria" w:eastAsia="Cambria" w:hAnsi="Cambria" w:cs="Cambria"/>
          <w:b/>
          <w:sz w:val="20"/>
          <w:szCs w:val="20"/>
        </w:rPr>
        <w:tab/>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748"/>
        <w:gridCol w:w="2808"/>
      </w:tblGrid>
      <w:tr w:rsidR="00A915D4" w:rsidTr="003A66A8">
        <w:tc>
          <w:tcPr>
            <w:tcW w:w="11016" w:type="dxa"/>
            <w:gridSpan w:val="3"/>
            <w:shd w:val="clear" w:color="auto" w:fill="D7E3BC"/>
          </w:tcPr>
          <w:p w:rsidR="00A915D4" w:rsidRDefault="00D0417D" w:rsidP="00D0417D">
            <w:pPr>
              <w:spacing w:after="0" w:line="240" w:lineRule="auto"/>
              <w:contextualSpacing w:val="0"/>
              <w:jc w:val="center"/>
            </w:pPr>
            <w:r>
              <w:rPr>
                <w:rFonts w:ascii="Cambria" w:eastAsia="Cambria" w:hAnsi="Cambria" w:cs="Cambria"/>
                <w:b/>
                <w:sz w:val="20"/>
                <w:szCs w:val="20"/>
              </w:rPr>
              <w:t xml:space="preserve">Purpose: </w:t>
            </w:r>
            <w:r>
              <w:rPr>
                <w:rFonts w:ascii="Cambria" w:eastAsia="Cambria" w:hAnsi="Cambria" w:cs="Cambria"/>
                <w:sz w:val="20"/>
                <w:szCs w:val="20"/>
              </w:rPr>
              <w:t>To improve and support the integration and collaboration between the behavioral health and medical community for improved outcomes of our shared clients/patients</w:t>
            </w:r>
          </w:p>
        </w:tc>
      </w:tr>
      <w:tr w:rsidR="006737DA" w:rsidTr="003A66A8">
        <w:trPr>
          <w:trHeight w:val="880"/>
        </w:trPr>
        <w:tc>
          <w:tcPr>
            <w:tcW w:w="11016" w:type="dxa"/>
            <w:gridSpan w:val="3"/>
            <w:shd w:val="clear" w:color="auto" w:fill="F2F2F2"/>
          </w:tcPr>
          <w:p w:rsidR="006737DA" w:rsidRPr="006737DA" w:rsidRDefault="006737DA">
            <w:pPr>
              <w:spacing w:after="0" w:line="240" w:lineRule="auto"/>
              <w:contextualSpacing w:val="0"/>
              <w:rPr>
                <w:sz w:val="14"/>
                <w:szCs w:val="14"/>
              </w:rPr>
            </w:pPr>
            <w:r w:rsidRPr="006737DA">
              <w:rPr>
                <w:rFonts w:ascii="Cambria" w:eastAsia="Cambria" w:hAnsi="Cambria" w:cs="Cambria"/>
                <w:sz w:val="14"/>
                <w:szCs w:val="14"/>
              </w:rPr>
              <w:t xml:space="preserve">Short Term Goals: </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Report activities and recommendations to PAC</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Incorporate SMC’s vision for Integration</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 xml:space="preserve">Identify key tenets </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Gather brief examples of current activities</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Incentive/efficiencies for those who are trying to be progressive in this endeavor.  (short or long term goal)</w:t>
            </w:r>
          </w:p>
          <w:p w:rsidR="006737DA" w:rsidRPr="006737DA" w:rsidRDefault="006737DA">
            <w:pPr>
              <w:spacing w:after="0" w:line="240" w:lineRule="auto"/>
              <w:contextualSpacing w:val="0"/>
              <w:rPr>
                <w:sz w:val="14"/>
                <w:szCs w:val="14"/>
              </w:rPr>
            </w:pPr>
            <w:r w:rsidRPr="006737DA">
              <w:rPr>
                <w:rFonts w:ascii="Cambria" w:eastAsia="Cambria" w:hAnsi="Cambria" w:cs="Cambria"/>
                <w:sz w:val="14"/>
                <w:szCs w:val="14"/>
              </w:rPr>
              <w:t>Goals: Outline a provider a MH/DD/SA prospective on integration</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Identification of key performance indicators for collaboration at a distance, co-location, and integrated settings (this gets to the language and definition and how to deliver the message?)</w:t>
            </w:r>
          </w:p>
          <w:p w:rsidR="006737DA" w:rsidRPr="006737DA" w:rsidRDefault="006737DA">
            <w:pPr>
              <w:numPr>
                <w:ilvl w:val="0"/>
                <w:numId w:val="5"/>
              </w:numPr>
              <w:spacing w:after="0" w:line="240" w:lineRule="auto"/>
              <w:ind w:hanging="360"/>
              <w:rPr>
                <w:sz w:val="14"/>
                <w:szCs w:val="14"/>
              </w:rPr>
            </w:pPr>
            <w:r w:rsidRPr="006737DA">
              <w:rPr>
                <w:rFonts w:ascii="Cambria" w:eastAsia="Cambria" w:hAnsi="Cambria" w:cs="Cambria"/>
                <w:sz w:val="14"/>
                <w:szCs w:val="14"/>
              </w:rPr>
              <w:t>Use of data for clinical decision making/Population Health</w:t>
            </w:r>
          </w:p>
          <w:p w:rsidR="006737DA" w:rsidRPr="00D0417D" w:rsidRDefault="006737DA" w:rsidP="00D0417D">
            <w:pPr>
              <w:numPr>
                <w:ilvl w:val="0"/>
                <w:numId w:val="5"/>
              </w:numPr>
              <w:spacing w:after="0" w:line="240" w:lineRule="auto"/>
              <w:ind w:hanging="360"/>
              <w:rPr>
                <w:sz w:val="14"/>
                <w:szCs w:val="14"/>
              </w:rPr>
            </w:pPr>
            <w:r w:rsidRPr="006737DA">
              <w:rPr>
                <w:rFonts w:ascii="Cambria" w:eastAsia="Cambria" w:hAnsi="Cambria" w:cs="Cambria"/>
                <w:sz w:val="14"/>
                <w:szCs w:val="14"/>
              </w:rPr>
              <w:t>Address comorbidities through collaboration and workflows that acknowledge these complex needs</w:t>
            </w:r>
          </w:p>
        </w:tc>
      </w:tr>
      <w:tr w:rsidR="005C62AD">
        <w:trPr>
          <w:trHeight w:val="400"/>
        </w:trPr>
        <w:tc>
          <w:tcPr>
            <w:tcW w:w="11016" w:type="dxa"/>
            <w:gridSpan w:val="3"/>
            <w:shd w:val="clear" w:color="auto" w:fill="EBF1DD"/>
          </w:tcPr>
          <w:p w:rsidR="005C62AD" w:rsidRDefault="00F105F2">
            <w:pPr>
              <w:spacing w:after="0" w:line="240" w:lineRule="auto"/>
              <w:contextualSpacing w:val="0"/>
              <w:jc w:val="center"/>
            </w:pPr>
            <w:r>
              <w:rPr>
                <w:rFonts w:ascii="Cambria" w:eastAsia="Cambria" w:hAnsi="Cambria" w:cs="Cambria"/>
                <w:b/>
                <w:sz w:val="18"/>
                <w:szCs w:val="18"/>
              </w:rPr>
              <w:t>Scope of work recommendations to PAC regarding population health.</w:t>
            </w:r>
          </w:p>
          <w:p w:rsidR="005C62AD" w:rsidRDefault="005C62AD" w:rsidP="006737DA">
            <w:pPr>
              <w:spacing w:after="0" w:line="240" w:lineRule="auto"/>
              <w:contextualSpacing w:val="0"/>
              <w:jc w:val="center"/>
            </w:pPr>
          </w:p>
        </w:tc>
      </w:tr>
      <w:tr w:rsidR="006818A8" w:rsidTr="006818A8">
        <w:trPr>
          <w:trHeight w:val="359"/>
        </w:trPr>
        <w:tc>
          <w:tcPr>
            <w:tcW w:w="4460" w:type="dxa"/>
          </w:tcPr>
          <w:p w:rsidR="006818A8" w:rsidRPr="009F7593" w:rsidRDefault="006818A8" w:rsidP="001659B5">
            <w:pPr>
              <w:spacing w:after="0" w:line="240" w:lineRule="auto"/>
              <w:jc w:val="center"/>
              <w:rPr>
                <w:rFonts w:ascii="Times New Roman" w:eastAsia="Cambria" w:hAnsi="Times New Roman" w:cs="Times New Roman"/>
                <w:b/>
                <w:sz w:val="18"/>
                <w:szCs w:val="18"/>
              </w:rPr>
            </w:pPr>
          </w:p>
        </w:tc>
        <w:tc>
          <w:tcPr>
            <w:tcW w:w="3748" w:type="dxa"/>
          </w:tcPr>
          <w:p w:rsidR="006818A8" w:rsidRPr="009F7593" w:rsidRDefault="006818A8" w:rsidP="001659B5">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Comments and example recommendations</w:t>
            </w:r>
          </w:p>
        </w:tc>
        <w:tc>
          <w:tcPr>
            <w:tcW w:w="2808" w:type="dxa"/>
          </w:tcPr>
          <w:p w:rsidR="006818A8" w:rsidRPr="006818A8" w:rsidRDefault="006818A8" w:rsidP="00E20ED1">
            <w:pPr>
              <w:spacing w:after="0" w:line="240" w:lineRule="auto"/>
              <w:jc w:val="center"/>
              <w:rPr>
                <w:rFonts w:asciiTheme="majorHAnsi" w:hAnsiTheme="majorHAnsi"/>
                <w:color w:val="auto"/>
                <w:sz w:val="20"/>
                <w:szCs w:val="20"/>
              </w:rPr>
            </w:pPr>
            <w:r w:rsidRPr="006818A8">
              <w:rPr>
                <w:rFonts w:asciiTheme="majorHAnsi" w:hAnsiTheme="majorHAnsi"/>
                <w:color w:val="auto"/>
                <w:sz w:val="20"/>
                <w:szCs w:val="20"/>
              </w:rPr>
              <w:t>Recommendation</w:t>
            </w:r>
          </w:p>
        </w:tc>
      </w:tr>
      <w:tr w:rsidR="00AA2FD9" w:rsidTr="001659B5">
        <w:trPr>
          <w:trHeight w:val="1979"/>
        </w:trPr>
        <w:tc>
          <w:tcPr>
            <w:tcW w:w="4460" w:type="dxa"/>
          </w:tcPr>
          <w:p w:rsidR="00AA2FD9" w:rsidRPr="009A529B" w:rsidRDefault="009A529B" w:rsidP="009A529B">
            <w:pPr>
              <w:spacing w:after="0" w:line="240" w:lineRule="auto"/>
              <w:rPr>
                <w:rFonts w:ascii="Times New Roman" w:eastAsia="Cambria" w:hAnsi="Times New Roman" w:cs="Times New Roman"/>
                <w:b/>
                <w:sz w:val="18"/>
                <w:szCs w:val="18"/>
              </w:rPr>
            </w:pPr>
            <w:r>
              <w:rPr>
                <w:rFonts w:ascii="Times New Roman" w:eastAsia="Cambria" w:hAnsi="Times New Roman" w:cs="Times New Roman"/>
                <w:b/>
                <w:sz w:val="18"/>
                <w:szCs w:val="18"/>
              </w:rPr>
              <w:t>1.</w:t>
            </w:r>
            <w:r w:rsidR="00AA2FD9" w:rsidRPr="009A529B">
              <w:rPr>
                <w:rFonts w:ascii="Times New Roman" w:eastAsia="Cambria" w:hAnsi="Times New Roman" w:cs="Times New Roman"/>
                <w:b/>
                <w:sz w:val="18"/>
                <w:szCs w:val="18"/>
              </w:rPr>
              <w:t>Macra</w:t>
            </w:r>
            <w:r w:rsidR="001659B5" w:rsidRPr="009A529B">
              <w:rPr>
                <w:rFonts w:ascii="Times New Roman" w:eastAsia="Cambria" w:hAnsi="Times New Roman" w:cs="Times New Roman"/>
                <w:b/>
                <w:sz w:val="18"/>
                <w:szCs w:val="18"/>
              </w:rPr>
              <w:t>/</w:t>
            </w:r>
            <w:proofErr w:type="spellStart"/>
            <w:r w:rsidR="001659B5" w:rsidRPr="009A529B">
              <w:rPr>
                <w:rFonts w:ascii="Times New Roman" w:eastAsia="Cambria" w:hAnsi="Times New Roman" w:cs="Times New Roman"/>
                <w:b/>
                <w:sz w:val="18"/>
                <w:szCs w:val="18"/>
              </w:rPr>
              <w:t>mips</w:t>
            </w:r>
            <w:proofErr w:type="spellEnd"/>
            <w:r w:rsidR="001659B5" w:rsidRPr="009A529B">
              <w:rPr>
                <w:rFonts w:ascii="Times New Roman" w:eastAsia="Cambria" w:hAnsi="Times New Roman" w:cs="Times New Roman"/>
                <w:b/>
                <w:sz w:val="18"/>
                <w:szCs w:val="18"/>
              </w:rPr>
              <w:t xml:space="preserve"> IN 2017</w:t>
            </w:r>
            <w:r w:rsidR="00AA2FD9" w:rsidRPr="009A529B">
              <w:rPr>
                <w:rFonts w:ascii="Times New Roman" w:eastAsia="Cambria" w:hAnsi="Times New Roman" w:cs="Times New Roman"/>
                <w:b/>
                <w:sz w:val="18"/>
                <w:szCs w:val="18"/>
              </w:rPr>
              <w:t xml:space="preserve"> </w:t>
            </w:r>
            <w:r w:rsidR="001659B5" w:rsidRPr="009A529B">
              <w:rPr>
                <w:rFonts w:ascii="Times New Roman" w:eastAsia="Cambria" w:hAnsi="Times New Roman" w:cs="Times New Roman"/>
                <w:b/>
                <w:sz w:val="18"/>
                <w:szCs w:val="18"/>
              </w:rPr>
              <w:t xml:space="preserve">: </w:t>
            </w:r>
            <w:hyperlink r:id="rId10" w:history="1">
              <w:r w:rsidR="001659B5" w:rsidRPr="009A529B">
                <w:rPr>
                  <w:rStyle w:val="Hyperlink"/>
                  <w:rFonts w:ascii="Times New Roman" w:eastAsia="Cambria" w:hAnsi="Times New Roman" w:cs="Times New Roman"/>
                  <w:b/>
                  <w:sz w:val="18"/>
                  <w:szCs w:val="18"/>
                </w:rPr>
                <w:t>LINK</w:t>
              </w:r>
            </w:hyperlink>
          </w:p>
          <w:p w:rsidR="009F7593" w:rsidRPr="009F7593" w:rsidRDefault="009F7593" w:rsidP="00E708BA">
            <w:pPr>
              <w:spacing w:after="0" w:line="240" w:lineRule="auto"/>
              <w:rPr>
                <w:rFonts w:ascii="Times New Roman" w:eastAsia="Cambria" w:hAnsi="Times New Roman" w:cs="Times New Roman"/>
                <w:b/>
                <w:sz w:val="18"/>
                <w:szCs w:val="18"/>
              </w:rPr>
            </w:pPr>
            <w:r w:rsidRPr="009F7593">
              <w:rPr>
                <w:rFonts w:ascii="Times New Roman" w:hAnsi="Times New Roman" w:cs="Times New Roman"/>
                <w:sz w:val="18"/>
                <w:szCs w:val="18"/>
              </w:rPr>
              <w:t>Medicare Access and CHIP Reauthorization Act of 2015</w:t>
            </w:r>
          </w:p>
          <w:p w:rsidR="00C82977" w:rsidRDefault="00C82977" w:rsidP="00E708BA">
            <w:pPr>
              <w:spacing w:before="100" w:beforeAutospacing="1" w:after="100" w:afterAutospacing="1" w:line="240" w:lineRule="auto"/>
              <w:rPr>
                <w:rFonts w:ascii="Times New Roman" w:eastAsia="Times New Roman" w:hAnsi="Times New Roman" w:cs="Times New Roman"/>
                <w:color w:val="auto"/>
                <w:sz w:val="18"/>
                <w:szCs w:val="18"/>
              </w:rPr>
            </w:pPr>
          </w:p>
          <w:p w:rsidR="001659B5" w:rsidRPr="001659B5" w:rsidRDefault="001659B5" w:rsidP="00E708BA">
            <w:pPr>
              <w:spacing w:before="100" w:beforeAutospacing="1" w:after="100" w:afterAutospacing="1" w:line="240" w:lineRule="auto"/>
              <w:rPr>
                <w:rFonts w:ascii="Times New Roman" w:eastAsia="Times New Roman" w:hAnsi="Times New Roman" w:cs="Times New Roman"/>
                <w:color w:val="auto"/>
                <w:sz w:val="18"/>
                <w:szCs w:val="18"/>
              </w:rPr>
            </w:pPr>
            <w:r w:rsidRPr="001659B5">
              <w:rPr>
                <w:rFonts w:ascii="Times New Roman" w:eastAsia="Times New Roman" w:hAnsi="Times New Roman" w:cs="Times New Roman"/>
                <w:color w:val="auto"/>
                <w:sz w:val="18"/>
                <w:szCs w:val="18"/>
              </w:rPr>
              <w:t>Clinicians that will be counted for the 2017 reporting year include physicians (including psychiatrists), nurse practitioners, physician assistants, clinical nurse specialists and nurse anesthetists. In 2017, MIPS does NOT apply to:</w:t>
            </w:r>
          </w:p>
          <w:p w:rsidR="001659B5" w:rsidRPr="001659B5" w:rsidRDefault="001659B5" w:rsidP="001659B5">
            <w:pPr>
              <w:numPr>
                <w:ilvl w:val="0"/>
                <w:numId w:val="8"/>
              </w:numPr>
              <w:spacing w:before="100" w:beforeAutospacing="1" w:after="100" w:afterAutospacing="1" w:line="240" w:lineRule="auto"/>
              <w:rPr>
                <w:rFonts w:ascii="Times New Roman" w:eastAsia="Times New Roman" w:hAnsi="Times New Roman" w:cs="Times New Roman"/>
                <w:color w:val="76923C" w:themeColor="accent3" w:themeShade="BF"/>
                <w:sz w:val="18"/>
                <w:szCs w:val="18"/>
              </w:rPr>
            </w:pPr>
            <w:r w:rsidRPr="001659B5">
              <w:rPr>
                <w:rFonts w:ascii="Times New Roman" w:eastAsia="Times New Roman" w:hAnsi="Times New Roman" w:cs="Times New Roman"/>
                <w:color w:val="76923C" w:themeColor="accent3" w:themeShade="BF"/>
                <w:sz w:val="18"/>
                <w:szCs w:val="18"/>
              </w:rPr>
              <w:t>Clinical psychologists &amp; licensed clinical social workers</w:t>
            </w:r>
          </w:p>
          <w:p w:rsidR="001659B5" w:rsidRPr="001659B5" w:rsidRDefault="001659B5" w:rsidP="001659B5">
            <w:pPr>
              <w:numPr>
                <w:ilvl w:val="0"/>
                <w:numId w:val="8"/>
              </w:numPr>
              <w:spacing w:before="100" w:beforeAutospacing="1" w:after="100" w:afterAutospacing="1" w:line="240" w:lineRule="auto"/>
              <w:rPr>
                <w:rFonts w:ascii="Times New Roman" w:eastAsia="Times New Roman" w:hAnsi="Times New Roman" w:cs="Times New Roman"/>
                <w:color w:val="auto"/>
                <w:sz w:val="18"/>
                <w:szCs w:val="18"/>
              </w:rPr>
            </w:pPr>
            <w:r w:rsidRPr="001659B5">
              <w:rPr>
                <w:rFonts w:ascii="Times New Roman" w:eastAsia="Times New Roman" w:hAnsi="Times New Roman" w:cs="Times New Roman"/>
                <w:color w:val="auto"/>
                <w:sz w:val="18"/>
                <w:szCs w:val="18"/>
              </w:rPr>
              <w:t>First-year Medicare providers</w:t>
            </w:r>
          </w:p>
          <w:p w:rsidR="001659B5" w:rsidRPr="001659B5" w:rsidRDefault="001659B5" w:rsidP="001659B5">
            <w:pPr>
              <w:numPr>
                <w:ilvl w:val="0"/>
                <w:numId w:val="8"/>
              </w:numPr>
              <w:spacing w:before="100" w:beforeAutospacing="1" w:after="100" w:afterAutospacing="1" w:line="240" w:lineRule="auto"/>
              <w:rPr>
                <w:rFonts w:ascii="Times New Roman" w:eastAsia="Times New Roman" w:hAnsi="Times New Roman" w:cs="Times New Roman"/>
                <w:color w:val="auto"/>
                <w:sz w:val="18"/>
                <w:szCs w:val="18"/>
              </w:rPr>
            </w:pPr>
            <w:r w:rsidRPr="001659B5">
              <w:rPr>
                <w:rFonts w:ascii="Times New Roman" w:eastAsia="Times New Roman" w:hAnsi="Times New Roman" w:cs="Times New Roman"/>
                <w:color w:val="auto"/>
                <w:sz w:val="18"/>
                <w:szCs w:val="18"/>
              </w:rPr>
              <w:t>Qualifying Advanced APM clinicians</w:t>
            </w:r>
          </w:p>
          <w:p w:rsidR="001659B5" w:rsidRPr="001659B5" w:rsidRDefault="001659B5" w:rsidP="001659B5">
            <w:pPr>
              <w:numPr>
                <w:ilvl w:val="0"/>
                <w:numId w:val="8"/>
              </w:numPr>
              <w:spacing w:before="100" w:beforeAutospacing="1" w:after="100" w:afterAutospacing="1" w:line="240" w:lineRule="auto"/>
              <w:rPr>
                <w:rFonts w:ascii="Times New Roman" w:eastAsia="Times New Roman" w:hAnsi="Times New Roman" w:cs="Times New Roman"/>
                <w:color w:val="auto"/>
                <w:sz w:val="18"/>
                <w:szCs w:val="18"/>
              </w:rPr>
            </w:pPr>
            <w:r w:rsidRPr="001659B5">
              <w:rPr>
                <w:rFonts w:ascii="Times New Roman" w:eastAsia="Times New Roman" w:hAnsi="Times New Roman" w:cs="Times New Roman"/>
                <w:color w:val="auto"/>
                <w:sz w:val="18"/>
                <w:szCs w:val="18"/>
              </w:rPr>
              <w:t>Hospitals and facilities</w:t>
            </w:r>
          </w:p>
          <w:p w:rsidR="001659B5" w:rsidRPr="001659B5" w:rsidRDefault="001659B5" w:rsidP="001659B5">
            <w:pPr>
              <w:numPr>
                <w:ilvl w:val="0"/>
                <w:numId w:val="8"/>
              </w:numPr>
              <w:spacing w:before="100" w:beforeAutospacing="1" w:after="100" w:afterAutospacing="1" w:line="240" w:lineRule="auto"/>
              <w:rPr>
                <w:rFonts w:ascii="Times New Roman" w:eastAsia="Times New Roman" w:hAnsi="Times New Roman" w:cs="Times New Roman"/>
                <w:color w:val="76923C" w:themeColor="accent3" w:themeShade="BF"/>
                <w:sz w:val="18"/>
                <w:szCs w:val="18"/>
              </w:rPr>
            </w:pPr>
            <w:r w:rsidRPr="001659B5">
              <w:rPr>
                <w:rFonts w:ascii="Times New Roman" w:eastAsia="Times New Roman" w:hAnsi="Times New Roman" w:cs="Times New Roman"/>
                <w:color w:val="76923C" w:themeColor="accent3" w:themeShade="BF"/>
                <w:sz w:val="18"/>
                <w:szCs w:val="18"/>
              </w:rPr>
              <w:t>Providers who fall beneath CMS’s low-volume threshold, who serve fewer than 100 Medicare recipients or bill Medicare less than $30,000 per year.</w:t>
            </w:r>
          </w:p>
          <w:p w:rsidR="001659B5" w:rsidRDefault="001659B5" w:rsidP="001659B5">
            <w:pPr>
              <w:spacing w:after="0" w:line="240" w:lineRule="auto"/>
              <w:jc w:val="center"/>
              <w:rPr>
                <w:rFonts w:ascii="Times New Roman" w:hAnsi="Times New Roman" w:cs="Times New Roman"/>
                <w:sz w:val="18"/>
                <w:szCs w:val="18"/>
              </w:rPr>
            </w:pPr>
            <w:r w:rsidRPr="009F7593">
              <w:rPr>
                <w:rFonts w:ascii="Times New Roman" w:hAnsi="Times New Roman" w:cs="Times New Roman"/>
                <w:sz w:val="18"/>
                <w:szCs w:val="18"/>
              </w:rPr>
              <w:t>2019 payment adjustments will be based on 2017 performance. LCSWs and Psychologists report 2019</w:t>
            </w:r>
          </w:p>
          <w:p w:rsidR="00143E67" w:rsidRPr="009F7593" w:rsidRDefault="00143E67" w:rsidP="001659B5">
            <w:pPr>
              <w:spacing w:after="0" w:line="240" w:lineRule="auto"/>
              <w:jc w:val="center"/>
              <w:rPr>
                <w:rFonts w:ascii="Times New Roman" w:hAnsi="Times New Roman" w:cs="Times New Roman"/>
                <w:sz w:val="18"/>
                <w:szCs w:val="18"/>
              </w:rPr>
            </w:pPr>
          </w:p>
          <w:p w:rsidR="009F7593" w:rsidRPr="009F7593" w:rsidRDefault="009F7593" w:rsidP="009F7593">
            <w:pPr>
              <w:spacing w:after="0" w:line="240" w:lineRule="auto"/>
              <w:rPr>
                <w:rFonts w:ascii="Times New Roman" w:hAnsi="Times New Roman" w:cs="Times New Roman"/>
                <w:sz w:val="18"/>
                <w:szCs w:val="18"/>
              </w:rPr>
            </w:pPr>
            <w:r w:rsidRPr="009F7593">
              <w:rPr>
                <w:rFonts w:ascii="Times New Roman" w:hAnsi="Times New Roman" w:cs="Times New Roman"/>
                <w:sz w:val="18"/>
                <w:szCs w:val="18"/>
                <w:u w:val="single"/>
              </w:rPr>
              <w:t>Types of reporting methods</w:t>
            </w:r>
            <w:r w:rsidRPr="009F7593">
              <w:rPr>
                <w:rFonts w:ascii="Times New Roman" w:hAnsi="Times New Roman" w:cs="Times New Roman"/>
                <w:sz w:val="18"/>
                <w:szCs w:val="18"/>
              </w:rPr>
              <w:t>: Registry, EMR, Claims</w:t>
            </w:r>
          </w:p>
        </w:tc>
        <w:tc>
          <w:tcPr>
            <w:tcW w:w="3748" w:type="dxa"/>
          </w:tcPr>
          <w:p w:rsidR="009F7593" w:rsidRDefault="006818A8" w:rsidP="001659B5">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t xml:space="preserve">Example Recommendation: </w:t>
            </w:r>
            <w:r w:rsidR="009F7593">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Consider how prescribers will </w:t>
            </w:r>
            <w:r w:rsidR="000049A4">
              <w:rPr>
                <w:rFonts w:ascii="Times New Roman" w:hAnsi="Times New Roman" w:cs="Times New Roman"/>
                <w:color w:val="auto"/>
                <w:sz w:val="18"/>
                <w:szCs w:val="18"/>
              </w:rPr>
              <w:t>participate in MACRA: D</w:t>
            </w:r>
            <w:r>
              <w:rPr>
                <w:rFonts w:ascii="Times New Roman" w:hAnsi="Times New Roman" w:cs="Times New Roman"/>
                <w:color w:val="auto"/>
                <w:sz w:val="18"/>
                <w:szCs w:val="18"/>
              </w:rPr>
              <w:t xml:space="preserve">ocument and report on care for </w:t>
            </w:r>
            <w:r w:rsidRPr="009F7593">
              <w:rPr>
                <w:rFonts w:ascii="Times New Roman" w:hAnsi="Times New Roman" w:cs="Times New Roman"/>
                <w:color w:val="auto"/>
                <w:sz w:val="18"/>
                <w:szCs w:val="18"/>
              </w:rPr>
              <w:t xml:space="preserve">bipolar disorder, ADHD, </w:t>
            </w:r>
            <w:r>
              <w:rPr>
                <w:rFonts w:ascii="Times New Roman" w:hAnsi="Times New Roman" w:cs="Times New Roman"/>
                <w:color w:val="auto"/>
                <w:sz w:val="18"/>
                <w:szCs w:val="18"/>
              </w:rPr>
              <w:t xml:space="preserve">depression, </w:t>
            </w:r>
            <w:r w:rsidRPr="009F7593">
              <w:rPr>
                <w:rFonts w:ascii="Times New Roman" w:hAnsi="Times New Roman" w:cs="Times New Roman"/>
                <w:color w:val="auto"/>
                <w:sz w:val="18"/>
                <w:szCs w:val="18"/>
              </w:rPr>
              <w:t>dementia,</w:t>
            </w:r>
            <w:r>
              <w:rPr>
                <w:rFonts w:ascii="Times New Roman" w:hAnsi="Times New Roman" w:cs="Times New Roman"/>
                <w:b/>
                <w:color w:val="auto"/>
                <w:sz w:val="18"/>
                <w:szCs w:val="18"/>
              </w:rPr>
              <w:t xml:space="preserve"> </w:t>
            </w:r>
            <w:r w:rsidRPr="009F7593">
              <w:rPr>
                <w:rFonts w:ascii="Times New Roman" w:hAnsi="Times New Roman" w:cs="Times New Roman"/>
                <w:color w:val="auto"/>
                <w:sz w:val="18"/>
                <w:szCs w:val="18"/>
              </w:rPr>
              <w:t>advanced care plans</w:t>
            </w:r>
            <w:r>
              <w:rPr>
                <w:rFonts w:ascii="Times New Roman" w:hAnsi="Times New Roman" w:cs="Times New Roman"/>
                <w:color w:val="auto"/>
                <w:sz w:val="18"/>
                <w:szCs w:val="18"/>
              </w:rPr>
              <w:t>, BMI, High BP, close referral loop, smoking cessation and performance during 2017.</w:t>
            </w:r>
          </w:p>
          <w:p w:rsidR="006818A8" w:rsidRDefault="006818A8" w:rsidP="001659B5">
            <w:pPr>
              <w:spacing w:after="0" w:line="240" w:lineRule="auto"/>
              <w:rPr>
                <w:rFonts w:ascii="Times New Roman" w:hAnsi="Times New Roman" w:cs="Times New Roman"/>
                <w:color w:val="auto"/>
                <w:sz w:val="18"/>
                <w:szCs w:val="18"/>
              </w:rPr>
            </w:pPr>
          </w:p>
          <w:p w:rsidR="006818A8" w:rsidRDefault="006818A8" w:rsidP="006818A8">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t>Comments:</w:t>
            </w:r>
            <w:r>
              <w:rPr>
                <w:rFonts w:ascii="Times New Roman" w:hAnsi="Times New Roman" w:cs="Times New Roman"/>
                <w:color w:val="auto"/>
                <w:sz w:val="18"/>
                <w:szCs w:val="18"/>
                <w:u w:val="single"/>
              </w:rPr>
              <w:t xml:space="preserve"> </w:t>
            </w:r>
            <w:r w:rsidRPr="006818A8">
              <w:rPr>
                <w:rFonts w:ascii="Times New Roman" w:hAnsi="Times New Roman" w:cs="Times New Roman"/>
                <w:color w:val="auto"/>
                <w:sz w:val="18"/>
                <w:szCs w:val="18"/>
              </w:rPr>
              <w:t xml:space="preserve">Most clinical measures were agreed on </w:t>
            </w:r>
            <w:r>
              <w:rPr>
                <w:rFonts w:ascii="Times New Roman" w:hAnsi="Times New Roman" w:cs="Times New Roman"/>
                <w:color w:val="auto"/>
                <w:sz w:val="18"/>
                <w:szCs w:val="18"/>
              </w:rPr>
              <w:t>as a</w:t>
            </w:r>
            <w:r w:rsidRPr="006818A8">
              <w:rPr>
                <w:rFonts w:ascii="Times New Roman" w:hAnsi="Times New Roman" w:cs="Times New Roman"/>
                <w:color w:val="auto"/>
                <w:sz w:val="18"/>
                <w:szCs w:val="18"/>
              </w:rPr>
              <w:t xml:space="preserve"> priority </w:t>
            </w:r>
            <w:r>
              <w:rPr>
                <w:rFonts w:ascii="Times New Roman" w:hAnsi="Times New Roman" w:cs="Times New Roman"/>
                <w:color w:val="auto"/>
                <w:sz w:val="18"/>
                <w:szCs w:val="18"/>
              </w:rPr>
              <w:t>for</w:t>
            </w:r>
            <w:r w:rsidRPr="006818A8">
              <w:rPr>
                <w:rFonts w:ascii="Times New Roman" w:hAnsi="Times New Roman" w:cs="Times New Roman"/>
                <w:color w:val="auto"/>
                <w:sz w:val="18"/>
                <w:szCs w:val="18"/>
              </w:rPr>
              <w:t xml:space="preserve"> psychiatry</w:t>
            </w:r>
          </w:p>
          <w:p w:rsidR="006818A8" w:rsidRDefault="006818A8" w:rsidP="006818A8">
            <w:pPr>
              <w:spacing w:after="0" w:line="240" w:lineRule="auto"/>
              <w:rPr>
                <w:rFonts w:ascii="Times New Roman" w:hAnsi="Times New Roman" w:cs="Times New Roman"/>
                <w:color w:val="auto"/>
                <w:sz w:val="18"/>
                <w:szCs w:val="18"/>
              </w:rPr>
            </w:pPr>
          </w:p>
          <w:p w:rsidR="006818A8" w:rsidRPr="006818A8" w:rsidRDefault="006818A8" w:rsidP="006818A8">
            <w:pPr>
              <w:spacing w:after="0" w:line="240" w:lineRule="auto"/>
              <w:rPr>
                <w:rFonts w:ascii="Times New Roman" w:hAnsi="Times New Roman" w:cs="Times New Roman"/>
                <w:color w:val="auto"/>
                <w:sz w:val="18"/>
                <w:szCs w:val="18"/>
              </w:rPr>
            </w:pPr>
          </w:p>
        </w:tc>
        <w:tc>
          <w:tcPr>
            <w:tcW w:w="2808" w:type="dxa"/>
          </w:tcPr>
          <w:p w:rsidR="00AA2FD9" w:rsidRDefault="00AA2FD9" w:rsidP="00E20ED1">
            <w:pPr>
              <w:spacing w:after="0" w:line="240" w:lineRule="auto"/>
              <w:jc w:val="center"/>
              <w:rPr>
                <w:rFonts w:asciiTheme="majorHAnsi" w:hAnsiTheme="majorHAnsi"/>
                <w:b/>
                <w:color w:val="auto"/>
                <w:sz w:val="20"/>
                <w:szCs w:val="20"/>
              </w:rPr>
            </w:pPr>
          </w:p>
        </w:tc>
      </w:tr>
      <w:tr w:rsidR="006818A8" w:rsidTr="001659B5">
        <w:trPr>
          <w:trHeight w:val="287"/>
        </w:trPr>
        <w:tc>
          <w:tcPr>
            <w:tcW w:w="4460" w:type="dxa"/>
          </w:tcPr>
          <w:p w:rsidR="006818A8" w:rsidRPr="00666B54" w:rsidRDefault="009A529B" w:rsidP="009A529B">
            <w:pPr>
              <w:spacing w:after="0" w:line="240" w:lineRule="auto"/>
              <w:rPr>
                <w:rFonts w:ascii="Cambria" w:eastAsia="Cambria" w:hAnsi="Cambria" w:cs="Cambria"/>
                <w:b/>
                <w:i/>
                <w:color w:val="C00000"/>
                <w:sz w:val="18"/>
                <w:szCs w:val="18"/>
              </w:rPr>
            </w:pPr>
            <w:r>
              <w:rPr>
                <w:rFonts w:ascii="Cambria" w:eastAsia="Cambria" w:hAnsi="Cambria" w:cs="Cambria"/>
                <w:b/>
                <w:sz w:val="18"/>
                <w:szCs w:val="18"/>
              </w:rPr>
              <w:t>2.</w:t>
            </w:r>
            <w:r w:rsidR="00DB7104">
              <w:rPr>
                <w:rFonts w:ascii="Cambria" w:eastAsia="Cambria" w:hAnsi="Cambria" w:cs="Cambria"/>
                <w:b/>
                <w:sz w:val="18"/>
                <w:szCs w:val="18"/>
              </w:rPr>
              <w:t xml:space="preserve"> </w:t>
            </w:r>
            <w:r w:rsidR="006818A8" w:rsidRPr="009A529B">
              <w:rPr>
                <w:rFonts w:ascii="Cambria" w:eastAsia="Cambria" w:hAnsi="Cambria" w:cs="Cambria"/>
                <w:b/>
                <w:sz w:val="18"/>
                <w:szCs w:val="18"/>
              </w:rPr>
              <w:t xml:space="preserve">Clinical Measures for prescribers </w:t>
            </w:r>
            <w:r w:rsidR="00E708BA" w:rsidRPr="009A529B">
              <w:rPr>
                <w:rFonts w:ascii="Cambria" w:eastAsia="Cambria" w:hAnsi="Cambria" w:cs="Cambria"/>
                <w:b/>
                <w:sz w:val="18"/>
                <w:szCs w:val="18"/>
              </w:rPr>
              <w:t xml:space="preserve">in measurement year </w:t>
            </w:r>
            <w:r w:rsidR="006818A8" w:rsidRPr="009A529B">
              <w:rPr>
                <w:rFonts w:ascii="Cambria" w:eastAsia="Cambria" w:hAnsi="Cambria" w:cs="Cambria"/>
                <w:b/>
                <w:sz w:val="18"/>
                <w:szCs w:val="18"/>
              </w:rPr>
              <w:t>2017.</w:t>
            </w:r>
            <w:r w:rsidRPr="009A529B">
              <w:rPr>
                <w:rFonts w:ascii="Cambria" w:eastAsia="Cambria" w:hAnsi="Cambria" w:cs="Cambria"/>
                <w:b/>
                <w:sz w:val="18"/>
                <w:szCs w:val="18"/>
              </w:rPr>
              <w:t xml:space="preserve"> </w:t>
            </w:r>
            <w:r w:rsidRPr="00666B54">
              <w:rPr>
                <w:rFonts w:ascii="Cambria" w:eastAsia="Cambria" w:hAnsi="Cambria" w:cs="Cambria"/>
                <w:b/>
                <w:i/>
                <w:color w:val="C00000"/>
                <w:sz w:val="18"/>
                <w:szCs w:val="18"/>
                <w:highlight w:val="yellow"/>
              </w:rPr>
              <w:t xml:space="preserve">27 </w:t>
            </w:r>
            <w:r w:rsidR="00143E67" w:rsidRPr="00666B54">
              <w:rPr>
                <w:rFonts w:ascii="Cambria" w:eastAsia="Cambria" w:hAnsi="Cambria" w:cs="Cambria"/>
                <w:b/>
                <w:i/>
                <w:color w:val="C00000"/>
                <w:sz w:val="18"/>
                <w:szCs w:val="18"/>
                <w:highlight w:val="yellow"/>
              </w:rPr>
              <w:t xml:space="preserve">are </w:t>
            </w:r>
            <w:r w:rsidRPr="00666B54">
              <w:rPr>
                <w:rFonts w:ascii="Cambria" w:eastAsia="Cambria" w:hAnsi="Cambria" w:cs="Cambria"/>
                <w:b/>
                <w:i/>
                <w:color w:val="C00000"/>
                <w:sz w:val="18"/>
                <w:szCs w:val="18"/>
                <w:highlight w:val="yellow"/>
              </w:rPr>
              <w:t>possible</w:t>
            </w:r>
          </w:p>
          <w:p w:rsidR="006818A8" w:rsidRDefault="006818A8" w:rsidP="006818A8">
            <w:pPr>
              <w:spacing w:after="0" w:line="240" w:lineRule="auto"/>
              <w:rPr>
                <w:rFonts w:ascii="Cambria" w:eastAsia="Cambria" w:hAnsi="Cambria" w:cs="Cambria"/>
                <w:b/>
                <w:sz w:val="18"/>
                <w:szCs w:val="18"/>
              </w:rPr>
            </w:pPr>
          </w:p>
          <w:p w:rsidR="006818A8" w:rsidRDefault="006818A8" w:rsidP="006818A8">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 xml:space="preserve">Categories of measurement: </w:t>
            </w:r>
            <w:r w:rsidRPr="009F7593">
              <w:rPr>
                <w:rFonts w:ascii="Times New Roman" w:hAnsi="Times New Roman" w:cs="Times New Roman"/>
                <w:color w:val="auto"/>
                <w:sz w:val="18"/>
                <w:szCs w:val="18"/>
              </w:rPr>
              <w:t xml:space="preserve">bipolar disorder, ADHD, </w:t>
            </w:r>
            <w:r>
              <w:rPr>
                <w:rFonts w:ascii="Times New Roman" w:hAnsi="Times New Roman" w:cs="Times New Roman"/>
                <w:color w:val="auto"/>
                <w:sz w:val="18"/>
                <w:szCs w:val="18"/>
              </w:rPr>
              <w:t xml:space="preserve">depression, </w:t>
            </w:r>
            <w:r w:rsidRPr="009F7593">
              <w:rPr>
                <w:rFonts w:ascii="Times New Roman" w:hAnsi="Times New Roman" w:cs="Times New Roman"/>
                <w:color w:val="auto"/>
                <w:sz w:val="18"/>
                <w:szCs w:val="18"/>
              </w:rPr>
              <w:t>dementia,</w:t>
            </w:r>
            <w:r>
              <w:rPr>
                <w:rFonts w:ascii="Times New Roman" w:hAnsi="Times New Roman" w:cs="Times New Roman"/>
                <w:b/>
                <w:color w:val="auto"/>
                <w:sz w:val="18"/>
                <w:szCs w:val="18"/>
              </w:rPr>
              <w:t xml:space="preserve"> </w:t>
            </w:r>
            <w:r w:rsidRPr="009F7593">
              <w:rPr>
                <w:rFonts w:ascii="Times New Roman" w:hAnsi="Times New Roman" w:cs="Times New Roman"/>
                <w:color w:val="auto"/>
                <w:sz w:val="18"/>
                <w:szCs w:val="18"/>
              </w:rPr>
              <w:t>advanced care plans</w:t>
            </w:r>
            <w:r>
              <w:rPr>
                <w:rFonts w:ascii="Times New Roman" w:hAnsi="Times New Roman" w:cs="Times New Roman"/>
                <w:color w:val="auto"/>
                <w:sz w:val="18"/>
                <w:szCs w:val="18"/>
              </w:rPr>
              <w:t xml:space="preserve">, BMI, High BP, </w:t>
            </w:r>
            <w:r w:rsidR="00E708BA">
              <w:rPr>
                <w:rFonts w:ascii="Times New Roman" w:hAnsi="Times New Roman" w:cs="Times New Roman"/>
                <w:color w:val="auto"/>
                <w:sz w:val="18"/>
                <w:szCs w:val="18"/>
              </w:rPr>
              <w:t>smoking cessation</w:t>
            </w:r>
          </w:p>
          <w:p w:rsidR="006818A8" w:rsidRDefault="006818A8" w:rsidP="006818A8">
            <w:pPr>
              <w:spacing w:after="0" w:line="240" w:lineRule="auto"/>
              <w:rPr>
                <w:rFonts w:ascii="Cambria" w:eastAsia="Cambria" w:hAnsi="Cambria" w:cs="Cambria"/>
                <w:b/>
                <w:sz w:val="18"/>
                <w:szCs w:val="18"/>
              </w:rPr>
            </w:pPr>
          </w:p>
          <w:p w:rsidR="006818A8" w:rsidRPr="009F7593" w:rsidRDefault="006818A8" w:rsidP="006818A8">
            <w:pPr>
              <w:spacing w:after="0" w:line="240" w:lineRule="auto"/>
              <w:rPr>
                <w:rFonts w:ascii="Times New Roman" w:hAnsi="Times New Roman" w:cs="Times New Roman"/>
                <w:color w:val="auto"/>
                <w:sz w:val="18"/>
                <w:szCs w:val="18"/>
              </w:rPr>
            </w:pPr>
            <w:proofErr w:type="spellStart"/>
            <w:r w:rsidRPr="000049A4">
              <w:rPr>
                <w:rFonts w:ascii="Times New Roman" w:hAnsi="Times New Roman" w:cs="Times New Roman"/>
                <w:i/>
                <w:color w:val="auto"/>
                <w:sz w:val="18"/>
                <w:szCs w:val="18"/>
                <w:highlight w:val="yellow"/>
              </w:rPr>
              <w:t>Ie</w:t>
            </w:r>
            <w:proofErr w:type="spellEnd"/>
            <w:r w:rsidRPr="000049A4">
              <w:rPr>
                <w:rFonts w:ascii="Times New Roman" w:hAnsi="Times New Roman" w:cs="Times New Roman"/>
                <w:i/>
                <w:color w:val="auto"/>
                <w:sz w:val="18"/>
                <w:szCs w:val="18"/>
                <w:highlight w:val="yellow"/>
              </w:rPr>
              <w:t xml:space="preserve">. </w:t>
            </w:r>
            <w:r w:rsidRPr="000049A4">
              <w:rPr>
                <w:rFonts w:ascii="Times New Roman" w:hAnsi="Times New Roman" w:cs="Times New Roman"/>
                <w:b/>
                <w:i/>
                <w:color w:val="auto"/>
                <w:sz w:val="18"/>
                <w:szCs w:val="18"/>
                <w:highlight w:val="yellow"/>
              </w:rPr>
              <w:t>Depression Remission at Six Months:</w:t>
            </w:r>
            <w:r w:rsidRPr="000049A4">
              <w:rPr>
                <w:rFonts w:ascii="Times New Roman" w:hAnsi="Times New Roman" w:cs="Times New Roman"/>
                <w:i/>
                <w:color w:val="auto"/>
                <w:sz w:val="18"/>
                <w:szCs w:val="18"/>
                <w:highlight w:val="yellow"/>
              </w:rPr>
              <w:t xml:space="preserve"> Adult patients age 18 years and older with major depression or dysthymia and an </w:t>
            </w:r>
            <w:r w:rsidRPr="000049A4">
              <w:rPr>
                <w:rFonts w:ascii="Times New Roman" w:hAnsi="Times New Roman" w:cs="Times New Roman"/>
                <w:b/>
                <w:i/>
                <w:color w:val="auto"/>
                <w:sz w:val="18"/>
                <w:szCs w:val="18"/>
                <w:highlight w:val="yellow"/>
              </w:rPr>
              <w:t>initial PHQ-9 score &gt; 9 who demonstrate remission at six months defined as a PHQ-9 score less than 5.</w:t>
            </w:r>
            <w:r w:rsidRPr="000049A4">
              <w:rPr>
                <w:rFonts w:ascii="Times New Roman" w:hAnsi="Times New Roman" w:cs="Times New Roman"/>
                <w:i/>
                <w:color w:val="auto"/>
                <w:sz w:val="18"/>
                <w:szCs w:val="18"/>
              </w:rPr>
              <w:t xml:space="preserve"> </w:t>
            </w:r>
            <w:r w:rsidRPr="009F7593">
              <w:rPr>
                <w:rFonts w:ascii="Times New Roman" w:hAnsi="Times New Roman" w:cs="Times New Roman"/>
                <w:color w:val="auto"/>
                <w:sz w:val="18"/>
                <w:szCs w:val="18"/>
              </w:rPr>
              <w:t xml:space="preserve">This measure applies to both patients with newly diagnosed and existing depression whose current PHQ-9 score indicates a need for treatment. This measure additionally promotes ongoing contact between the patient and provider as patients who do not have a </w:t>
            </w:r>
            <w:r w:rsidRPr="009F7593">
              <w:rPr>
                <w:rFonts w:ascii="Times New Roman" w:hAnsi="Times New Roman" w:cs="Times New Roman"/>
                <w:color w:val="auto"/>
                <w:sz w:val="18"/>
                <w:szCs w:val="18"/>
              </w:rPr>
              <w:lastRenderedPageBreak/>
              <w:t>follow-up PHQ-9 score at six months (+/- 30 days) are also included in the denominator</w:t>
            </w:r>
            <w:r>
              <w:rPr>
                <w:rFonts w:ascii="Times New Roman" w:hAnsi="Times New Roman" w:cs="Times New Roman"/>
                <w:color w:val="auto"/>
                <w:sz w:val="18"/>
                <w:szCs w:val="18"/>
              </w:rPr>
              <w:t xml:space="preserve"> (against you).</w:t>
            </w:r>
          </w:p>
          <w:p w:rsidR="006818A8" w:rsidRPr="009F7593" w:rsidRDefault="006818A8" w:rsidP="006818A8">
            <w:pPr>
              <w:spacing w:after="0" w:line="240" w:lineRule="auto"/>
              <w:rPr>
                <w:rFonts w:ascii="Times New Roman" w:hAnsi="Times New Roman" w:cs="Times New Roman"/>
                <w:color w:val="auto"/>
                <w:sz w:val="18"/>
                <w:szCs w:val="18"/>
              </w:rPr>
            </w:pPr>
          </w:p>
          <w:p w:rsidR="006818A8" w:rsidRDefault="006818A8" w:rsidP="006818A8">
            <w:pPr>
              <w:spacing w:after="0" w:line="240" w:lineRule="auto"/>
              <w:rPr>
                <w:rFonts w:ascii="Cambria" w:eastAsia="Cambria" w:hAnsi="Cambria" w:cs="Cambria"/>
                <w:b/>
                <w:sz w:val="18"/>
                <w:szCs w:val="18"/>
              </w:rPr>
            </w:pPr>
          </w:p>
        </w:tc>
        <w:tc>
          <w:tcPr>
            <w:tcW w:w="3748" w:type="dxa"/>
          </w:tcPr>
          <w:p w:rsidR="00E708BA" w:rsidRDefault="00E708BA" w:rsidP="00E708BA">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lastRenderedPageBreak/>
              <w:t xml:space="preserve">Example Recommendation: </w:t>
            </w:r>
            <w:r>
              <w:rPr>
                <w:rFonts w:ascii="Times New Roman" w:hAnsi="Times New Roman" w:cs="Times New Roman"/>
                <w:color w:val="auto"/>
                <w:sz w:val="18"/>
                <w:szCs w:val="18"/>
              </w:rPr>
              <w:t xml:space="preserve"> Consider how prescribers and team workflows will scre</w:t>
            </w:r>
            <w:r w:rsidR="00A27CC0">
              <w:rPr>
                <w:rFonts w:ascii="Times New Roman" w:hAnsi="Times New Roman" w:cs="Times New Roman"/>
                <w:color w:val="auto"/>
                <w:sz w:val="18"/>
                <w:szCs w:val="18"/>
              </w:rPr>
              <w:t xml:space="preserve">en and treat target conditions </w:t>
            </w:r>
            <w:r>
              <w:rPr>
                <w:rFonts w:ascii="Times New Roman" w:hAnsi="Times New Roman" w:cs="Times New Roman"/>
                <w:color w:val="auto"/>
                <w:sz w:val="18"/>
                <w:szCs w:val="18"/>
              </w:rPr>
              <w:t xml:space="preserve">of </w:t>
            </w:r>
            <w:r w:rsidRPr="009F7593">
              <w:rPr>
                <w:rFonts w:ascii="Times New Roman" w:hAnsi="Times New Roman" w:cs="Times New Roman"/>
                <w:color w:val="auto"/>
                <w:sz w:val="18"/>
                <w:szCs w:val="18"/>
              </w:rPr>
              <w:t xml:space="preserve">bipolar disorder, ADHD, </w:t>
            </w:r>
            <w:r>
              <w:rPr>
                <w:rFonts w:ascii="Times New Roman" w:hAnsi="Times New Roman" w:cs="Times New Roman"/>
                <w:color w:val="auto"/>
                <w:sz w:val="18"/>
                <w:szCs w:val="18"/>
              </w:rPr>
              <w:t xml:space="preserve">depression, </w:t>
            </w:r>
            <w:r w:rsidRPr="009F7593">
              <w:rPr>
                <w:rFonts w:ascii="Times New Roman" w:hAnsi="Times New Roman" w:cs="Times New Roman"/>
                <w:color w:val="auto"/>
                <w:sz w:val="18"/>
                <w:szCs w:val="18"/>
              </w:rPr>
              <w:t>dementia,</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B</w:t>
            </w:r>
            <w:r w:rsidR="00143E67">
              <w:rPr>
                <w:rFonts w:ascii="Times New Roman" w:hAnsi="Times New Roman" w:cs="Times New Roman"/>
                <w:color w:val="auto"/>
                <w:sz w:val="18"/>
                <w:szCs w:val="18"/>
              </w:rPr>
              <w:t>MI, High BP,</w:t>
            </w:r>
            <w:r>
              <w:rPr>
                <w:rFonts w:ascii="Times New Roman" w:hAnsi="Times New Roman" w:cs="Times New Roman"/>
                <w:color w:val="auto"/>
                <w:sz w:val="18"/>
                <w:szCs w:val="18"/>
              </w:rPr>
              <w:t xml:space="preserve"> smoking cessation.</w:t>
            </w:r>
          </w:p>
          <w:p w:rsidR="00E708BA" w:rsidRDefault="00E708BA" w:rsidP="00E708BA">
            <w:pPr>
              <w:spacing w:after="0" w:line="240" w:lineRule="auto"/>
              <w:rPr>
                <w:rFonts w:ascii="Times New Roman" w:hAnsi="Times New Roman" w:cs="Times New Roman"/>
                <w:color w:val="auto"/>
                <w:sz w:val="18"/>
                <w:szCs w:val="18"/>
              </w:rPr>
            </w:pPr>
          </w:p>
          <w:p w:rsidR="006818A8" w:rsidRPr="00E20ED1" w:rsidRDefault="006818A8" w:rsidP="00E708BA">
            <w:pPr>
              <w:spacing w:after="0" w:line="240" w:lineRule="auto"/>
              <w:rPr>
                <w:rFonts w:asciiTheme="majorHAnsi" w:hAnsiTheme="majorHAnsi"/>
                <w:b/>
                <w:color w:val="auto"/>
                <w:sz w:val="20"/>
                <w:szCs w:val="20"/>
              </w:rPr>
            </w:pPr>
          </w:p>
        </w:tc>
        <w:tc>
          <w:tcPr>
            <w:tcW w:w="2808" w:type="dxa"/>
          </w:tcPr>
          <w:p w:rsidR="006818A8" w:rsidRDefault="006818A8" w:rsidP="00E20ED1">
            <w:pPr>
              <w:spacing w:after="0" w:line="240" w:lineRule="auto"/>
              <w:jc w:val="center"/>
              <w:rPr>
                <w:rFonts w:asciiTheme="majorHAnsi" w:hAnsiTheme="majorHAnsi"/>
                <w:b/>
                <w:color w:val="auto"/>
                <w:sz w:val="20"/>
                <w:szCs w:val="20"/>
              </w:rPr>
            </w:pPr>
          </w:p>
        </w:tc>
      </w:tr>
      <w:tr w:rsidR="00E708BA" w:rsidTr="00FB23F9">
        <w:trPr>
          <w:trHeight w:val="2573"/>
        </w:trPr>
        <w:tc>
          <w:tcPr>
            <w:tcW w:w="4460" w:type="dxa"/>
          </w:tcPr>
          <w:p w:rsidR="00E708BA" w:rsidRPr="009A529B" w:rsidRDefault="009A529B" w:rsidP="009A529B">
            <w:pPr>
              <w:rPr>
                <w:rFonts w:ascii="Times New Roman" w:hAnsi="Times New Roman" w:cs="Times New Roman"/>
                <w:sz w:val="18"/>
                <w:szCs w:val="18"/>
              </w:rPr>
            </w:pPr>
            <w:r>
              <w:rPr>
                <w:rFonts w:ascii="Times New Roman" w:hAnsi="Times New Roman" w:cs="Times New Roman"/>
                <w:b/>
                <w:sz w:val="18"/>
                <w:szCs w:val="18"/>
              </w:rPr>
              <w:lastRenderedPageBreak/>
              <w:t>3.</w:t>
            </w:r>
            <w:r w:rsidR="00DB7104">
              <w:rPr>
                <w:rFonts w:ascii="Times New Roman" w:hAnsi="Times New Roman" w:cs="Times New Roman"/>
                <w:b/>
                <w:sz w:val="18"/>
                <w:szCs w:val="18"/>
              </w:rPr>
              <w:t xml:space="preserve"> </w:t>
            </w:r>
            <w:r w:rsidR="00E708BA" w:rsidRPr="000049A4">
              <w:rPr>
                <w:rFonts w:ascii="Times New Roman" w:hAnsi="Times New Roman" w:cs="Times New Roman"/>
                <w:b/>
                <w:sz w:val="18"/>
                <w:szCs w:val="18"/>
                <w:highlight w:val="yellow"/>
              </w:rPr>
              <w:t>Closing the Referral Loop: Receipt of Specialist Report :</w:t>
            </w:r>
            <w:r w:rsidR="00E708BA" w:rsidRPr="009A529B">
              <w:rPr>
                <w:rFonts w:ascii="Times New Roman" w:hAnsi="Times New Roman" w:cs="Times New Roman"/>
                <w:sz w:val="18"/>
                <w:szCs w:val="18"/>
              </w:rPr>
              <w:t xml:space="preserve"> Percentage of patients with referrals, regardless of age, for which the referring provider receives a report from the provider to whom the patient was referred</w:t>
            </w:r>
          </w:p>
          <w:p w:rsidR="00E708BA" w:rsidRDefault="00E708BA" w:rsidP="006818A8">
            <w:pPr>
              <w:spacing w:after="0" w:line="240" w:lineRule="auto"/>
              <w:rPr>
                <w:rFonts w:ascii="Cambria" w:eastAsia="Cambria" w:hAnsi="Cambria" w:cs="Cambria"/>
                <w:b/>
                <w:sz w:val="18"/>
                <w:szCs w:val="18"/>
              </w:rPr>
            </w:pPr>
          </w:p>
        </w:tc>
        <w:tc>
          <w:tcPr>
            <w:tcW w:w="3748" w:type="dxa"/>
          </w:tcPr>
          <w:p w:rsidR="00E708BA" w:rsidRDefault="00E708BA" w:rsidP="00E708BA">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t xml:space="preserve">Example Recommendation: </w:t>
            </w:r>
            <w:r>
              <w:rPr>
                <w:rFonts w:ascii="Times New Roman" w:hAnsi="Times New Roman" w:cs="Times New Roman"/>
                <w:color w:val="auto"/>
                <w:sz w:val="18"/>
                <w:szCs w:val="18"/>
              </w:rPr>
              <w:t xml:space="preserve"> Consider how agencies will be responsive to referrals from primary partners in the new world of healthcare accountability. </w:t>
            </w:r>
          </w:p>
          <w:p w:rsidR="00E708BA" w:rsidRDefault="00E708BA" w:rsidP="00E708BA">
            <w:pPr>
              <w:spacing w:after="0" w:line="240" w:lineRule="auto"/>
              <w:rPr>
                <w:rFonts w:ascii="Times New Roman" w:hAnsi="Times New Roman" w:cs="Times New Roman"/>
                <w:color w:val="auto"/>
                <w:sz w:val="18"/>
                <w:szCs w:val="18"/>
              </w:rPr>
            </w:pPr>
          </w:p>
          <w:p w:rsidR="00E708BA" w:rsidRDefault="00E708BA" w:rsidP="00E708BA">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t>Comments:</w:t>
            </w:r>
            <w:r>
              <w:rPr>
                <w:rFonts w:ascii="Times New Roman" w:hAnsi="Times New Roman" w:cs="Times New Roman"/>
                <w:color w:val="auto"/>
                <w:sz w:val="18"/>
                <w:szCs w:val="18"/>
                <w:u w:val="single"/>
              </w:rPr>
              <w:t xml:space="preserve"> </w:t>
            </w:r>
            <w:r>
              <w:rPr>
                <w:rFonts w:ascii="Times New Roman" w:hAnsi="Times New Roman" w:cs="Times New Roman"/>
                <w:color w:val="auto"/>
                <w:sz w:val="18"/>
                <w:szCs w:val="18"/>
              </w:rPr>
              <w:t>Create workflows processes to close the loop and report back to primary care</w:t>
            </w:r>
          </w:p>
          <w:p w:rsidR="00E708BA" w:rsidRPr="00E20ED1" w:rsidRDefault="00E708BA" w:rsidP="00666B54">
            <w:pPr>
              <w:spacing w:after="0" w:line="240" w:lineRule="auto"/>
              <w:rPr>
                <w:rFonts w:asciiTheme="majorHAnsi" w:hAnsiTheme="majorHAnsi"/>
                <w:b/>
                <w:color w:val="auto"/>
                <w:sz w:val="20"/>
                <w:szCs w:val="20"/>
              </w:rPr>
            </w:pPr>
          </w:p>
        </w:tc>
        <w:tc>
          <w:tcPr>
            <w:tcW w:w="2808" w:type="dxa"/>
          </w:tcPr>
          <w:p w:rsidR="00E708BA" w:rsidRDefault="00E708BA" w:rsidP="00E20ED1">
            <w:pPr>
              <w:spacing w:after="0" w:line="240" w:lineRule="auto"/>
              <w:jc w:val="center"/>
              <w:rPr>
                <w:rFonts w:asciiTheme="majorHAnsi" w:hAnsiTheme="majorHAnsi"/>
                <w:b/>
                <w:color w:val="auto"/>
                <w:sz w:val="20"/>
                <w:szCs w:val="20"/>
              </w:rPr>
            </w:pPr>
          </w:p>
        </w:tc>
      </w:tr>
      <w:tr w:rsidR="00E708BA" w:rsidTr="00E708BA">
        <w:trPr>
          <w:trHeight w:val="674"/>
        </w:trPr>
        <w:tc>
          <w:tcPr>
            <w:tcW w:w="4460" w:type="dxa"/>
          </w:tcPr>
          <w:p w:rsidR="00E708BA" w:rsidRPr="00E708BA" w:rsidRDefault="009A529B" w:rsidP="00E708BA">
            <w:pPr>
              <w:rPr>
                <w:rFonts w:ascii="Times New Roman" w:hAnsi="Times New Roman" w:cs="Times New Roman"/>
                <w:sz w:val="18"/>
                <w:szCs w:val="18"/>
              </w:rPr>
            </w:pPr>
            <w:r>
              <w:rPr>
                <w:rFonts w:ascii="Times New Roman" w:hAnsi="Times New Roman" w:cs="Times New Roman"/>
                <w:b/>
                <w:sz w:val="18"/>
                <w:szCs w:val="18"/>
              </w:rPr>
              <w:t>4.</w:t>
            </w:r>
            <w:r w:rsidR="00DB7104">
              <w:rPr>
                <w:rFonts w:ascii="Times New Roman" w:hAnsi="Times New Roman" w:cs="Times New Roman"/>
                <w:b/>
                <w:sz w:val="18"/>
                <w:szCs w:val="18"/>
              </w:rPr>
              <w:t xml:space="preserve"> </w:t>
            </w:r>
            <w:r w:rsidR="00E708BA" w:rsidRPr="000049A4">
              <w:rPr>
                <w:rFonts w:ascii="Times New Roman" w:hAnsi="Times New Roman" w:cs="Times New Roman"/>
                <w:b/>
                <w:sz w:val="18"/>
                <w:szCs w:val="18"/>
                <w:highlight w:val="yellow"/>
              </w:rPr>
              <w:t>PHQ-9: Patient Health Questionnaire # 9</w:t>
            </w:r>
            <w:r w:rsidR="00E708BA">
              <w:rPr>
                <w:rFonts w:ascii="Times New Roman" w:hAnsi="Times New Roman" w:cs="Times New Roman"/>
                <w:b/>
                <w:sz w:val="18"/>
                <w:szCs w:val="18"/>
              </w:rPr>
              <w:t xml:space="preserve">: </w:t>
            </w:r>
            <w:r w:rsidR="00E708BA">
              <w:rPr>
                <w:rFonts w:ascii="Times New Roman" w:hAnsi="Times New Roman" w:cs="Times New Roman"/>
                <w:sz w:val="18"/>
                <w:szCs w:val="18"/>
              </w:rPr>
              <w:t xml:space="preserve">A highly used tool in modern depression measurements </w:t>
            </w:r>
            <w:r w:rsidR="00DB7104">
              <w:rPr>
                <w:rFonts w:ascii="Times New Roman" w:hAnsi="Times New Roman" w:cs="Times New Roman"/>
                <w:sz w:val="18"/>
                <w:szCs w:val="18"/>
              </w:rPr>
              <w:t xml:space="preserve">including MACRA measures </w:t>
            </w:r>
            <w:r w:rsidR="00E708BA">
              <w:rPr>
                <w:rFonts w:ascii="Times New Roman" w:hAnsi="Times New Roman" w:cs="Times New Roman"/>
                <w:sz w:val="18"/>
                <w:szCs w:val="18"/>
              </w:rPr>
              <w:t xml:space="preserve">for treatment effectiveness in both primary and specialty care to be used and documented longitudinally to treat patients to remission targets. </w:t>
            </w:r>
          </w:p>
        </w:tc>
        <w:tc>
          <w:tcPr>
            <w:tcW w:w="3748" w:type="dxa"/>
          </w:tcPr>
          <w:p w:rsidR="00E708BA" w:rsidRDefault="00E708BA" w:rsidP="00E708BA">
            <w:pPr>
              <w:spacing w:after="0" w:line="240" w:lineRule="auto"/>
              <w:rPr>
                <w:rFonts w:ascii="Times New Roman" w:hAnsi="Times New Roman" w:cs="Times New Roman"/>
                <w:color w:val="auto"/>
                <w:sz w:val="18"/>
                <w:szCs w:val="18"/>
              </w:rPr>
            </w:pPr>
            <w:r w:rsidRPr="006818A8">
              <w:rPr>
                <w:rFonts w:ascii="Times New Roman" w:hAnsi="Times New Roman" w:cs="Times New Roman"/>
                <w:color w:val="auto"/>
                <w:sz w:val="18"/>
                <w:szCs w:val="18"/>
                <w:u w:val="single"/>
              </w:rPr>
              <w:t xml:space="preserve">Example Recommendation: </w:t>
            </w:r>
            <w:r>
              <w:rPr>
                <w:rFonts w:ascii="Times New Roman" w:hAnsi="Times New Roman" w:cs="Times New Roman"/>
                <w:color w:val="auto"/>
                <w:sz w:val="18"/>
                <w:szCs w:val="18"/>
              </w:rPr>
              <w:t xml:space="preserve"> Consider how you can introduce and institutionalize the PHQ-9 into clinical and documentation routines. </w:t>
            </w:r>
          </w:p>
          <w:p w:rsidR="00E708BA" w:rsidRDefault="00E708BA" w:rsidP="00E708BA">
            <w:pPr>
              <w:spacing w:after="0" w:line="240" w:lineRule="auto"/>
              <w:rPr>
                <w:rFonts w:ascii="Times New Roman" w:hAnsi="Times New Roman" w:cs="Times New Roman"/>
                <w:color w:val="auto"/>
                <w:sz w:val="18"/>
                <w:szCs w:val="18"/>
              </w:rPr>
            </w:pPr>
          </w:p>
          <w:p w:rsidR="00E708BA" w:rsidRDefault="00E708BA" w:rsidP="00E708BA">
            <w:pPr>
              <w:spacing w:after="0" w:line="240" w:lineRule="auto"/>
              <w:rPr>
                <w:rFonts w:ascii="Times New Roman" w:hAnsi="Times New Roman" w:cs="Times New Roman"/>
                <w:color w:val="auto"/>
                <w:sz w:val="18"/>
                <w:szCs w:val="18"/>
              </w:rPr>
            </w:pPr>
          </w:p>
          <w:p w:rsidR="00E708BA" w:rsidRDefault="00E708BA" w:rsidP="00E708BA">
            <w:pPr>
              <w:spacing w:after="0" w:line="240" w:lineRule="auto"/>
              <w:rPr>
                <w:rFonts w:ascii="Times New Roman" w:hAnsi="Times New Roman" w:cs="Times New Roman"/>
                <w:color w:val="auto"/>
                <w:sz w:val="18"/>
                <w:szCs w:val="18"/>
                <w:u w:val="single"/>
              </w:rPr>
            </w:pPr>
          </w:p>
          <w:p w:rsidR="00E708BA" w:rsidRPr="00E20ED1" w:rsidRDefault="00E708BA" w:rsidP="00E708BA">
            <w:pPr>
              <w:spacing w:after="0" w:line="240" w:lineRule="auto"/>
              <w:rPr>
                <w:rFonts w:asciiTheme="majorHAnsi" w:hAnsiTheme="majorHAnsi"/>
                <w:b/>
                <w:color w:val="auto"/>
                <w:sz w:val="20"/>
                <w:szCs w:val="20"/>
              </w:rPr>
            </w:pPr>
          </w:p>
        </w:tc>
        <w:tc>
          <w:tcPr>
            <w:tcW w:w="2808" w:type="dxa"/>
          </w:tcPr>
          <w:p w:rsidR="00E708BA" w:rsidRDefault="00E708BA" w:rsidP="00E20ED1">
            <w:pPr>
              <w:spacing w:after="0" w:line="240" w:lineRule="auto"/>
              <w:jc w:val="center"/>
              <w:rPr>
                <w:rFonts w:asciiTheme="majorHAnsi" w:hAnsiTheme="majorHAnsi"/>
                <w:b/>
                <w:color w:val="auto"/>
                <w:sz w:val="20"/>
                <w:szCs w:val="20"/>
              </w:rPr>
            </w:pPr>
          </w:p>
        </w:tc>
      </w:tr>
      <w:tr w:rsidR="009A529B" w:rsidTr="00E708BA">
        <w:trPr>
          <w:trHeight w:val="674"/>
        </w:trPr>
        <w:tc>
          <w:tcPr>
            <w:tcW w:w="4460" w:type="dxa"/>
          </w:tcPr>
          <w:p w:rsidR="009A529B" w:rsidRDefault="009A529B" w:rsidP="00E708BA">
            <w:pPr>
              <w:rPr>
                <w:rFonts w:ascii="Times New Roman" w:hAnsi="Times New Roman" w:cs="Times New Roman"/>
                <w:b/>
                <w:sz w:val="18"/>
                <w:szCs w:val="18"/>
              </w:rPr>
            </w:pPr>
            <w:r>
              <w:rPr>
                <w:rFonts w:ascii="Times New Roman" w:hAnsi="Times New Roman" w:cs="Times New Roman"/>
                <w:b/>
                <w:sz w:val="18"/>
                <w:szCs w:val="18"/>
              </w:rPr>
              <w:t>5.</w:t>
            </w:r>
            <w:r w:rsidR="00DB7104">
              <w:rPr>
                <w:rFonts w:ascii="Times New Roman" w:hAnsi="Times New Roman" w:cs="Times New Roman"/>
                <w:b/>
                <w:sz w:val="18"/>
                <w:szCs w:val="18"/>
              </w:rPr>
              <w:t xml:space="preserve"> </w:t>
            </w:r>
            <w:r>
              <w:rPr>
                <w:rFonts w:ascii="Times New Roman" w:hAnsi="Times New Roman" w:cs="Times New Roman"/>
                <w:b/>
                <w:sz w:val="18"/>
                <w:szCs w:val="18"/>
              </w:rPr>
              <w:t>Parking Lot Items</w:t>
            </w:r>
          </w:p>
          <w:p w:rsidR="009A529B" w:rsidRPr="00676994" w:rsidRDefault="00DB7104" w:rsidP="00E708BA">
            <w:pPr>
              <w:rPr>
                <w:rFonts w:ascii="Times New Roman" w:hAnsi="Times New Roman" w:cs="Times New Roman"/>
                <w:sz w:val="18"/>
                <w:szCs w:val="18"/>
              </w:rPr>
            </w:pPr>
            <w:r>
              <w:rPr>
                <w:rFonts w:ascii="Times New Roman" w:hAnsi="Times New Roman" w:cs="Times New Roman"/>
                <w:b/>
                <w:sz w:val="18"/>
                <w:szCs w:val="18"/>
              </w:rPr>
              <w:t xml:space="preserve">A. </w:t>
            </w:r>
            <w:r w:rsidR="009A529B" w:rsidRPr="000049A4">
              <w:rPr>
                <w:rFonts w:ascii="Times New Roman" w:hAnsi="Times New Roman" w:cs="Times New Roman"/>
                <w:b/>
                <w:sz w:val="18"/>
                <w:szCs w:val="18"/>
                <w:highlight w:val="yellow"/>
                <w:u w:val="single"/>
              </w:rPr>
              <w:t>Educational materials</w:t>
            </w:r>
            <w:r w:rsidR="00676994">
              <w:rPr>
                <w:rFonts w:ascii="Times New Roman" w:hAnsi="Times New Roman" w:cs="Times New Roman"/>
                <w:sz w:val="18"/>
                <w:szCs w:val="18"/>
              </w:rPr>
              <w:t xml:space="preserve"> –</w:t>
            </w:r>
            <w:r w:rsidR="00143E67">
              <w:rPr>
                <w:rFonts w:ascii="Times New Roman" w:hAnsi="Times New Roman" w:cs="Times New Roman"/>
                <w:sz w:val="18"/>
                <w:szCs w:val="18"/>
              </w:rPr>
              <w:t>2A</w:t>
            </w:r>
            <w:r w:rsidR="00676994">
              <w:rPr>
                <w:rFonts w:ascii="Times New Roman" w:hAnsi="Times New Roman" w:cs="Times New Roman"/>
                <w:sz w:val="18"/>
                <w:szCs w:val="18"/>
              </w:rPr>
              <w:t xml:space="preserve"> </w:t>
            </w:r>
            <w:r w:rsidR="00143E67">
              <w:rPr>
                <w:rFonts w:ascii="Times New Roman" w:hAnsi="Times New Roman" w:cs="Times New Roman"/>
                <w:sz w:val="18"/>
                <w:szCs w:val="18"/>
              </w:rPr>
              <w:t>(In next year – high relevance)</w:t>
            </w:r>
            <w:r w:rsidR="00676994">
              <w:rPr>
                <w:rFonts w:ascii="Times New Roman" w:hAnsi="Times New Roman" w:cs="Times New Roman"/>
                <w:sz w:val="18"/>
                <w:szCs w:val="18"/>
              </w:rPr>
              <w:t>– keep?</w:t>
            </w:r>
          </w:p>
          <w:p w:rsidR="009A529B" w:rsidRPr="00676994" w:rsidRDefault="00DB7104" w:rsidP="00E708BA">
            <w:pPr>
              <w:rPr>
                <w:rFonts w:ascii="Times New Roman" w:hAnsi="Times New Roman" w:cs="Times New Roman"/>
                <w:sz w:val="18"/>
                <w:szCs w:val="18"/>
              </w:rPr>
            </w:pPr>
            <w:r>
              <w:rPr>
                <w:rFonts w:ascii="Times New Roman" w:hAnsi="Times New Roman" w:cs="Times New Roman"/>
                <w:sz w:val="18"/>
                <w:szCs w:val="18"/>
              </w:rPr>
              <w:t xml:space="preserve">B. </w:t>
            </w:r>
            <w:r w:rsidR="009A529B" w:rsidRPr="000049A4">
              <w:rPr>
                <w:rFonts w:ascii="Times New Roman" w:hAnsi="Times New Roman" w:cs="Times New Roman"/>
                <w:b/>
                <w:sz w:val="18"/>
                <w:szCs w:val="18"/>
                <w:highlight w:val="yellow"/>
                <w:u w:val="single"/>
              </w:rPr>
              <w:t>Setting a health goal</w:t>
            </w:r>
            <w:r w:rsidR="00676994">
              <w:rPr>
                <w:rFonts w:ascii="Times New Roman" w:hAnsi="Times New Roman" w:cs="Times New Roman"/>
                <w:sz w:val="18"/>
                <w:szCs w:val="18"/>
              </w:rPr>
              <w:t xml:space="preserve"> – 3A</w:t>
            </w:r>
            <w:r w:rsidR="00143E67">
              <w:rPr>
                <w:rFonts w:ascii="Times New Roman" w:hAnsi="Times New Roman" w:cs="Times New Roman"/>
                <w:sz w:val="18"/>
                <w:szCs w:val="18"/>
              </w:rPr>
              <w:t xml:space="preserve"> (high relevance but more than 12 mos. out)</w:t>
            </w:r>
          </w:p>
          <w:p w:rsidR="009A529B" w:rsidRPr="00676994" w:rsidRDefault="00DB7104" w:rsidP="00E708BA">
            <w:pPr>
              <w:rPr>
                <w:rFonts w:ascii="Times New Roman" w:hAnsi="Times New Roman" w:cs="Times New Roman"/>
                <w:sz w:val="18"/>
                <w:szCs w:val="18"/>
              </w:rPr>
            </w:pPr>
            <w:r>
              <w:rPr>
                <w:rFonts w:ascii="Times New Roman" w:hAnsi="Times New Roman" w:cs="Times New Roman"/>
                <w:sz w:val="18"/>
                <w:szCs w:val="18"/>
              </w:rPr>
              <w:t xml:space="preserve">C. </w:t>
            </w:r>
            <w:r w:rsidR="009A529B" w:rsidRPr="000049A4">
              <w:rPr>
                <w:rFonts w:ascii="Times New Roman" w:hAnsi="Times New Roman" w:cs="Times New Roman"/>
                <w:b/>
                <w:sz w:val="18"/>
                <w:szCs w:val="18"/>
                <w:highlight w:val="yellow"/>
              </w:rPr>
              <w:t xml:space="preserve">Collaboration frequency based on </w:t>
            </w:r>
            <w:r w:rsidRPr="000049A4">
              <w:rPr>
                <w:rFonts w:ascii="Times New Roman" w:hAnsi="Times New Roman" w:cs="Times New Roman"/>
                <w:b/>
                <w:sz w:val="18"/>
                <w:szCs w:val="18"/>
                <w:highlight w:val="yellow"/>
              </w:rPr>
              <w:t xml:space="preserve">acuity </w:t>
            </w:r>
            <w:r w:rsidR="009A529B" w:rsidRPr="000049A4">
              <w:rPr>
                <w:rFonts w:ascii="Times New Roman" w:hAnsi="Times New Roman" w:cs="Times New Roman"/>
                <w:b/>
                <w:sz w:val="18"/>
                <w:szCs w:val="18"/>
                <w:highlight w:val="yellow"/>
              </w:rPr>
              <w:t>profile</w:t>
            </w:r>
            <w:r w:rsidR="00676994" w:rsidRPr="00676994">
              <w:rPr>
                <w:rFonts w:ascii="Times New Roman" w:hAnsi="Times New Roman" w:cs="Times New Roman"/>
                <w:sz w:val="18"/>
                <w:szCs w:val="18"/>
              </w:rPr>
              <w:t xml:space="preserve"> – see </w:t>
            </w:r>
            <w:r w:rsidR="00676994">
              <w:rPr>
                <w:rFonts w:ascii="Times New Roman" w:hAnsi="Times New Roman" w:cs="Times New Roman"/>
                <w:sz w:val="18"/>
                <w:szCs w:val="18"/>
              </w:rPr>
              <w:t xml:space="preserve">#3 for related item </w:t>
            </w:r>
            <w:r>
              <w:rPr>
                <w:rFonts w:ascii="Times New Roman" w:hAnsi="Times New Roman" w:cs="Times New Roman"/>
                <w:sz w:val="18"/>
                <w:szCs w:val="18"/>
              </w:rPr>
              <w:t xml:space="preserve">was our </w:t>
            </w:r>
            <w:r w:rsidR="00676994">
              <w:rPr>
                <w:rFonts w:ascii="Times New Roman" w:hAnsi="Times New Roman" w:cs="Times New Roman"/>
                <w:sz w:val="18"/>
                <w:szCs w:val="18"/>
              </w:rPr>
              <w:t>first step</w:t>
            </w:r>
            <w:r>
              <w:rPr>
                <w:rFonts w:ascii="Times New Roman" w:hAnsi="Times New Roman" w:cs="Times New Roman"/>
                <w:sz w:val="18"/>
                <w:szCs w:val="18"/>
              </w:rPr>
              <w:t xml:space="preserve"> for the basic referral</w:t>
            </w:r>
            <w:r w:rsidR="00143E67">
              <w:rPr>
                <w:rFonts w:ascii="Times New Roman" w:hAnsi="Times New Roman" w:cs="Times New Roman"/>
                <w:sz w:val="18"/>
                <w:szCs w:val="18"/>
              </w:rPr>
              <w:t>. Rated 2A for prescribers and 3A for non-</w:t>
            </w:r>
            <w:proofErr w:type="spellStart"/>
            <w:r w:rsidR="00143E67">
              <w:rPr>
                <w:rFonts w:ascii="Times New Roman" w:hAnsi="Times New Roman" w:cs="Times New Roman"/>
                <w:sz w:val="18"/>
                <w:szCs w:val="18"/>
              </w:rPr>
              <w:t>perscribers</w:t>
            </w:r>
            <w:proofErr w:type="spellEnd"/>
          </w:p>
          <w:p w:rsidR="009A529B" w:rsidRDefault="009A529B" w:rsidP="00E708BA">
            <w:pPr>
              <w:rPr>
                <w:rFonts w:ascii="Times New Roman" w:hAnsi="Times New Roman" w:cs="Times New Roman"/>
                <w:b/>
                <w:sz w:val="18"/>
                <w:szCs w:val="18"/>
              </w:rPr>
            </w:pPr>
            <w:r>
              <w:rPr>
                <w:rFonts w:ascii="Times New Roman" w:hAnsi="Times New Roman" w:cs="Times New Roman"/>
                <w:b/>
                <w:sz w:val="18"/>
                <w:szCs w:val="18"/>
              </w:rPr>
              <w:t>-</w:t>
            </w:r>
          </w:p>
          <w:p w:rsidR="009A529B" w:rsidRDefault="009A529B" w:rsidP="00E708BA">
            <w:pPr>
              <w:rPr>
                <w:rFonts w:ascii="Times New Roman" w:hAnsi="Times New Roman" w:cs="Times New Roman"/>
                <w:b/>
                <w:sz w:val="18"/>
                <w:szCs w:val="18"/>
              </w:rPr>
            </w:pPr>
          </w:p>
        </w:tc>
        <w:tc>
          <w:tcPr>
            <w:tcW w:w="3748" w:type="dxa"/>
          </w:tcPr>
          <w:p w:rsidR="009A529B" w:rsidRDefault="00DB7104" w:rsidP="00E708BA">
            <w:pPr>
              <w:spacing w:after="0" w:line="240" w:lineRule="auto"/>
              <w:rPr>
                <w:rFonts w:ascii="Times New Roman" w:hAnsi="Times New Roman" w:cs="Times New Roman"/>
                <w:color w:val="auto"/>
                <w:sz w:val="18"/>
                <w:szCs w:val="18"/>
                <w:u w:val="single"/>
              </w:rPr>
            </w:pPr>
            <w:r>
              <w:rPr>
                <w:rFonts w:ascii="Times New Roman" w:hAnsi="Times New Roman" w:cs="Times New Roman"/>
                <w:color w:val="auto"/>
                <w:sz w:val="18"/>
                <w:szCs w:val="18"/>
                <w:u w:val="single"/>
              </w:rPr>
              <w:t>A.</w:t>
            </w:r>
          </w:p>
          <w:p w:rsidR="0043189A" w:rsidRDefault="0043189A" w:rsidP="00E708BA">
            <w:pPr>
              <w:spacing w:after="0" w:line="240" w:lineRule="auto"/>
              <w:rPr>
                <w:rFonts w:ascii="Times New Roman" w:hAnsi="Times New Roman" w:cs="Times New Roman"/>
                <w:color w:val="auto"/>
                <w:sz w:val="18"/>
                <w:szCs w:val="18"/>
                <w:u w:val="single"/>
              </w:rPr>
            </w:pPr>
          </w:p>
          <w:p w:rsidR="00DB7104" w:rsidRDefault="00DB7104" w:rsidP="00E708BA">
            <w:pPr>
              <w:spacing w:after="0" w:line="240" w:lineRule="auto"/>
              <w:rPr>
                <w:rFonts w:ascii="Times New Roman" w:hAnsi="Times New Roman" w:cs="Times New Roman"/>
                <w:color w:val="auto"/>
                <w:sz w:val="18"/>
                <w:szCs w:val="18"/>
                <w:u w:val="single"/>
              </w:rPr>
            </w:pPr>
            <w:r>
              <w:rPr>
                <w:rFonts w:ascii="Times New Roman" w:hAnsi="Times New Roman" w:cs="Times New Roman"/>
                <w:color w:val="auto"/>
                <w:sz w:val="18"/>
                <w:szCs w:val="18"/>
                <w:u w:val="single"/>
              </w:rPr>
              <w:t>B</w:t>
            </w:r>
          </w:p>
          <w:p w:rsidR="0043189A" w:rsidRDefault="0043189A" w:rsidP="00E708BA">
            <w:pPr>
              <w:spacing w:after="0" w:line="240" w:lineRule="auto"/>
              <w:rPr>
                <w:rFonts w:ascii="Times New Roman" w:hAnsi="Times New Roman" w:cs="Times New Roman"/>
                <w:color w:val="auto"/>
                <w:sz w:val="18"/>
                <w:szCs w:val="18"/>
                <w:u w:val="single"/>
              </w:rPr>
            </w:pPr>
          </w:p>
          <w:p w:rsidR="00DB7104" w:rsidRDefault="00DB7104" w:rsidP="00E708BA">
            <w:pPr>
              <w:spacing w:after="0" w:line="240" w:lineRule="auto"/>
              <w:rPr>
                <w:rFonts w:ascii="Times New Roman" w:hAnsi="Times New Roman" w:cs="Times New Roman"/>
                <w:color w:val="auto"/>
                <w:sz w:val="18"/>
                <w:szCs w:val="18"/>
                <w:u w:val="single"/>
              </w:rPr>
            </w:pPr>
            <w:r>
              <w:rPr>
                <w:rFonts w:ascii="Times New Roman" w:hAnsi="Times New Roman" w:cs="Times New Roman"/>
                <w:color w:val="auto"/>
                <w:sz w:val="18"/>
                <w:szCs w:val="18"/>
                <w:u w:val="single"/>
              </w:rPr>
              <w:t>C.</w:t>
            </w:r>
          </w:p>
          <w:p w:rsidR="00DB7104" w:rsidRPr="006818A8" w:rsidRDefault="00DB7104" w:rsidP="00E708BA">
            <w:pPr>
              <w:spacing w:after="0" w:line="240" w:lineRule="auto"/>
              <w:rPr>
                <w:rFonts w:ascii="Times New Roman" w:hAnsi="Times New Roman" w:cs="Times New Roman"/>
                <w:color w:val="auto"/>
                <w:sz w:val="18"/>
                <w:szCs w:val="18"/>
                <w:u w:val="single"/>
              </w:rPr>
            </w:pPr>
          </w:p>
        </w:tc>
        <w:tc>
          <w:tcPr>
            <w:tcW w:w="2808" w:type="dxa"/>
          </w:tcPr>
          <w:p w:rsidR="009A529B" w:rsidRDefault="009A529B" w:rsidP="00E20ED1">
            <w:pPr>
              <w:spacing w:after="0" w:line="240" w:lineRule="auto"/>
              <w:jc w:val="center"/>
              <w:rPr>
                <w:rFonts w:asciiTheme="majorHAnsi" w:hAnsiTheme="majorHAnsi"/>
                <w:b/>
                <w:color w:val="auto"/>
                <w:sz w:val="20"/>
                <w:szCs w:val="20"/>
              </w:rPr>
            </w:pPr>
          </w:p>
        </w:tc>
      </w:tr>
      <w:tr w:rsidR="00E20ED1" w:rsidTr="001659B5">
        <w:trPr>
          <w:trHeight w:val="287"/>
        </w:trPr>
        <w:tc>
          <w:tcPr>
            <w:tcW w:w="4460" w:type="dxa"/>
          </w:tcPr>
          <w:p w:rsidR="00E20ED1" w:rsidRPr="009A529B" w:rsidRDefault="009A529B" w:rsidP="009A529B">
            <w:pPr>
              <w:spacing w:after="0" w:line="240" w:lineRule="auto"/>
              <w:rPr>
                <w:rFonts w:ascii="Cambria" w:eastAsia="Cambria" w:hAnsi="Cambria" w:cs="Cambria"/>
                <w:b/>
                <w:sz w:val="18"/>
                <w:szCs w:val="18"/>
                <w:highlight w:val="yellow"/>
              </w:rPr>
            </w:pPr>
            <w:r>
              <w:rPr>
                <w:rFonts w:ascii="Cambria" w:eastAsia="Cambria" w:hAnsi="Cambria" w:cs="Cambria"/>
                <w:b/>
                <w:sz w:val="18"/>
                <w:szCs w:val="18"/>
              </w:rPr>
              <w:t>6.</w:t>
            </w:r>
            <w:r w:rsidR="00DB7104">
              <w:rPr>
                <w:rFonts w:ascii="Cambria" w:eastAsia="Cambria" w:hAnsi="Cambria" w:cs="Cambria"/>
                <w:b/>
                <w:sz w:val="18"/>
                <w:szCs w:val="18"/>
              </w:rPr>
              <w:t xml:space="preserve"> </w:t>
            </w:r>
            <w:r>
              <w:rPr>
                <w:rFonts w:ascii="Cambria" w:eastAsia="Cambria" w:hAnsi="Cambria" w:cs="Cambria"/>
                <w:b/>
                <w:sz w:val="18"/>
                <w:szCs w:val="18"/>
              </w:rPr>
              <w:t>?</w:t>
            </w:r>
          </w:p>
        </w:tc>
        <w:tc>
          <w:tcPr>
            <w:tcW w:w="3748" w:type="dxa"/>
          </w:tcPr>
          <w:p w:rsidR="00E20ED1" w:rsidRPr="00E708BA" w:rsidRDefault="00E20ED1" w:rsidP="009A529B">
            <w:pPr>
              <w:spacing w:after="0" w:line="240" w:lineRule="auto"/>
              <w:rPr>
                <w:rFonts w:asciiTheme="majorHAnsi" w:hAnsiTheme="majorHAnsi"/>
                <w:b/>
                <w:color w:val="auto"/>
                <w:sz w:val="20"/>
                <w:szCs w:val="20"/>
                <w:highlight w:val="yellow"/>
              </w:rPr>
            </w:pPr>
          </w:p>
        </w:tc>
        <w:tc>
          <w:tcPr>
            <w:tcW w:w="2808" w:type="dxa"/>
          </w:tcPr>
          <w:p w:rsidR="00E20ED1" w:rsidRPr="00E708BA" w:rsidRDefault="00E20ED1" w:rsidP="00E20ED1">
            <w:pPr>
              <w:spacing w:after="0" w:line="240" w:lineRule="auto"/>
              <w:jc w:val="center"/>
              <w:rPr>
                <w:rFonts w:asciiTheme="majorHAnsi" w:hAnsiTheme="majorHAnsi"/>
                <w:b/>
                <w:color w:val="auto"/>
                <w:sz w:val="20"/>
                <w:szCs w:val="20"/>
                <w:highlight w:val="yellow"/>
              </w:rPr>
            </w:pPr>
          </w:p>
        </w:tc>
      </w:tr>
    </w:tbl>
    <w:p w:rsidR="005C62AD" w:rsidRDefault="005C62AD">
      <w:pPr>
        <w:spacing w:after="0" w:line="240" w:lineRule="auto"/>
      </w:pPr>
    </w:p>
    <w:sectPr w:rsidR="005C62AD" w:rsidSect="007358B7">
      <w:headerReference w:type="default" r:id="rId11"/>
      <w:footerReference w:type="default" r:id="rId12"/>
      <w:pgSz w:w="12240" w:h="15840"/>
      <w:pgMar w:top="720" w:right="720" w:bottom="720" w:left="720" w:header="14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2C" w:rsidRDefault="00FE432C">
      <w:pPr>
        <w:spacing w:after="0" w:line="240" w:lineRule="auto"/>
      </w:pPr>
      <w:r>
        <w:separator/>
      </w:r>
    </w:p>
  </w:endnote>
  <w:endnote w:type="continuationSeparator" w:id="0">
    <w:p w:rsidR="00FE432C" w:rsidRDefault="00FE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A8" w:rsidRDefault="003A66A8">
    <w:pPr>
      <w:tabs>
        <w:tab w:val="left" w:pos="2041"/>
        <w:tab w:val="center" w:pos="5400"/>
      </w:tabs>
      <w:spacing w:after="0" w:line="240" w:lineRule="auto"/>
      <w:jc w:val="center"/>
    </w:pPr>
    <w:r>
      <w:rPr>
        <w:b/>
        <w:i/>
        <w:color w:val="006600"/>
      </w:rPr>
      <w:t>Summary compiled by CCWNC.</w:t>
    </w:r>
    <w:r>
      <w:rPr>
        <w:noProof/>
      </w:rPr>
      <w:drawing>
        <wp:anchor distT="0" distB="0" distL="114300" distR="114300" simplePos="0" relativeHeight="251658240" behindDoc="0" locked="0" layoutInCell="0" hidden="0" allowOverlap="0" wp14:anchorId="1A23D1E8" wp14:editId="6B387E61">
          <wp:simplePos x="0" y="0"/>
          <wp:positionH relativeFrom="margin">
            <wp:posOffset>-350519</wp:posOffset>
          </wp:positionH>
          <wp:positionV relativeFrom="paragraph">
            <wp:posOffset>21472</wp:posOffset>
          </wp:positionV>
          <wp:extent cx="1440165" cy="542261"/>
          <wp:effectExtent l="0" t="0" r="0" b="0"/>
          <wp:wrapNone/>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1440165" cy="542261"/>
                  </a:xfrm>
                  <a:prstGeom prst="rect">
                    <a:avLst/>
                  </a:prstGeom>
                  <a:ln/>
                </pic:spPr>
              </pic:pic>
            </a:graphicData>
          </a:graphic>
        </wp:anchor>
      </w:drawing>
    </w:r>
  </w:p>
  <w:p w:rsidR="003A66A8" w:rsidRDefault="003A66A8">
    <w:pPr>
      <w:tabs>
        <w:tab w:val="center" w:pos="4680"/>
        <w:tab w:val="right" w:pos="9360"/>
      </w:tabs>
      <w:spacing w:after="0" w:line="240" w:lineRule="auto"/>
      <w:jc w:val="center"/>
    </w:pPr>
    <w:r>
      <w:rPr>
        <w:b/>
        <w:i/>
        <w:color w:val="006600"/>
      </w:rPr>
      <w:t>Online committee web space:</w:t>
    </w:r>
  </w:p>
  <w:p w:rsidR="003A66A8" w:rsidRDefault="003A66A8">
    <w:pPr>
      <w:tabs>
        <w:tab w:val="center" w:pos="4680"/>
        <w:tab w:val="right" w:pos="9360"/>
      </w:tabs>
      <w:spacing w:after="720" w:line="240" w:lineRule="auto"/>
      <w:jc w:val="center"/>
    </w:pPr>
    <w:r>
      <w:rPr>
        <w:b/>
        <w:i/>
        <w:color w:val="006600"/>
      </w:rPr>
      <w:tab/>
    </w:r>
    <w:hyperlink r:id="rId2" w:anchor="list">
      <w:r>
        <w:rPr>
          <w:color w:val="800080"/>
          <w:sz w:val="20"/>
          <w:szCs w:val="20"/>
          <w:u w:val="single"/>
        </w:rPr>
        <w:t>https://drive.google.com/folderview?id=0B8Ij76B1HeFMYkdkU0VUSGdkOTg&amp;usp=sharing#list</w:t>
      </w:r>
    </w:hyperlink>
    <w:hyperlink r:id="rId3" w:anchor="lis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C" w:rsidRDefault="00FE432C">
      <w:pPr>
        <w:spacing w:after="0" w:line="240" w:lineRule="auto"/>
      </w:pPr>
      <w:r>
        <w:separator/>
      </w:r>
    </w:p>
  </w:footnote>
  <w:footnote w:type="continuationSeparator" w:id="0">
    <w:p w:rsidR="00FE432C" w:rsidRDefault="00FE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A8" w:rsidRDefault="003A66A8">
    <w:pPr>
      <w:spacing w:before="720" w:after="0" w:line="240" w:lineRule="auto"/>
      <w:jc w:val="center"/>
    </w:pPr>
    <w:r>
      <w:rPr>
        <w:rFonts w:ascii="Arial Narrow" w:eastAsia="Arial Narrow" w:hAnsi="Arial Narrow" w:cs="Arial Narrow"/>
        <w:b/>
        <w:sz w:val="24"/>
        <w:szCs w:val="24"/>
      </w:rPr>
      <w:t xml:space="preserve">Integrated Care Sub-Committee of the </w:t>
    </w:r>
    <w:proofErr w:type="spellStart"/>
    <w:r w:rsidR="007358B7">
      <w:rPr>
        <w:rFonts w:ascii="Arial Narrow" w:eastAsia="Arial Narrow" w:hAnsi="Arial Narrow" w:cs="Arial Narrow"/>
        <w:b/>
        <w:sz w:val="24"/>
        <w:szCs w:val="24"/>
      </w:rPr>
      <w:t>Vaya’s</w:t>
    </w:r>
    <w:proofErr w:type="spellEnd"/>
    <w:r>
      <w:rPr>
        <w:rFonts w:ascii="Arial Narrow" w:eastAsia="Arial Narrow" w:hAnsi="Arial Narrow" w:cs="Arial Narrow"/>
        <w:b/>
        <w:sz w:val="24"/>
        <w:szCs w:val="24"/>
      </w:rPr>
      <w:t xml:space="preserve"> Provider Advisory Council</w:t>
    </w:r>
  </w:p>
  <w:p w:rsidR="003A66A8" w:rsidRDefault="003A66A8">
    <w:pPr>
      <w:spacing w:after="0" w:line="240" w:lineRule="auto"/>
      <w:ind w:left="2880" w:firstLine="720"/>
      <w:jc w:val="right"/>
    </w:pPr>
  </w:p>
  <w:p w:rsidR="003A66A8" w:rsidRDefault="003A66A8">
    <w:pPr>
      <w:spacing w:after="0" w:line="240" w:lineRule="auto"/>
      <w:jc w:val="right"/>
    </w:pPr>
  </w:p>
  <w:p w:rsidR="003A66A8" w:rsidRDefault="003A66A8">
    <w:pPr>
      <w:tabs>
        <w:tab w:val="center" w:pos="4320"/>
        <w:tab w:val="right" w:pos="864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CAC"/>
    <w:multiLevelType w:val="multilevel"/>
    <w:tmpl w:val="E16A5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940071"/>
    <w:multiLevelType w:val="multilevel"/>
    <w:tmpl w:val="5D620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001917"/>
    <w:multiLevelType w:val="multilevel"/>
    <w:tmpl w:val="77D81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DAB521C"/>
    <w:multiLevelType w:val="hybridMultilevel"/>
    <w:tmpl w:val="A56E0144"/>
    <w:lvl w:ilvl="0" w:tplc="E32E0CFA">
      <w:start w:val="1"/>
      <w:numFmt w:val="decimal"/>
      <w:lvlText w:val="%1."/>
      <w:lvlJc w:val="left"/>
      <w:pPr>
        <w:ind w:left="360" w:hanging="360"/>
      </w:pPr>
      <w:rPr>
        <w:rFonts w:ascii="Cambria" w:eastAsia="Cambria" w:hAnsi="Cambria" w:cs="Cambria" w:hint="default"/>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F2136C"/>
    <w:multiLevelType w:val="hybridMultilevel"/>
    <w:tmpl w:val="F08E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E4838"/>
    <w:multiLevelType w:val="multilevel"/>
    <w:tmpl w:val="BCA69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673357"/>
    <w:multiLevelType w:val="multilevel"/>
    <w:tmpl w:val="BE1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918A0"/>
    <w:multiLevelType w:val="multilevel"/>
    <w:tmpl w:val="C8866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31415C"/>
    <w:multiLevelType w:val="hybridMultilevel"/>
    <w:tmpl w:val="046E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2AD"/>
    <w:rsid w:val="000049A4"/>
    <w:rsid w:val="00005C57"/>
    <w:rsid w:val="00021111"/>
    <w:rsid w:val="00046FDF"/>
    <w:rsid w:val="000677FB"/>
    <w:rsid w:val="00105C78"/>
    <w:rsid w:val="00126937"/>
    <w:rsid w:val="0014128B"/>
    <w:rsid w:val="00143E67"/>
    <w:rsid w:val="001575E9"/>
    <w:rsid w:val="001659B5"/>
    <w:rsid w:val="001A7B09"/>
    <w:rsid w:val="00206DF4"/>
    <w:rsid w:val="0026412A"/>
    <w:rsid w:val="00265E65"/>
    <w:rsid w:val="002D6A03"/>
    <w:rsid w:val="00345F57"/>
    <w:rsid w:val="0037229C"/>
    <w:rsid w:val="003A4F70"/>
    <w:rsid w:val="003A66A8"/>
    <w:rsid w:val="003D31E2"/>
    <w:rsid w:val="003F3D51"/>
    <w:rsid w:val="00400E06"/>
    <w:rsid w:val="0043189A"/>
    <w:rsid w:val="00456A6E"/>
    <w:rsid w:val="00490256"/>
    <w:rsid w:val="004A1C99"/>
    <w:rsid w:val="004B115D"/>
    <w:rsid w:val="004B3C8C"/>
    <w:rsid w:val="004D2E8C"/>
    <w:rsid w:val="004E0717"/>
    <w:rsid w:val="005302B7"/>
    <w:rsid w:val="005C62AD"/>
    <w:rsid w:val="005D2CB7"/>
    <w:rsid w:val="005D7054"/>
    <w:rsid w:val="005F6E21"/>
    <w:rsid w:val="00601318"/>
    <w:rsid w:val="006212A1"/>
    <w:rsid w:val="00627934"/>
    <w:rsid w:val="00634136"/>
    <w:rsid w:val="00666B54"/>
    <w:rsid w:val="006677F4"/>
    <w:rsid w:val="00672723"/>
    <w:rsid w:val="006737DA"/>
    <w:rsid w:val="00676994"/>
    <w:rsid w:val="00677D5B"/>
    <w:rsid w:val="006807A8"/>
    <w:rsid w:val="006818A8"/>
    <w:rsid w:val="00692FFF"/>
    <w:rsid w:val="007333BE"/>
    <w:rsid w:val="007358B7"/>
    <w:rsid w:val="007D13E0"/>
    <w:rsid w:val="00854E5E"/>
    <w:rsid w:val="00872229"/>
    <w:rsid w:val="008F09D5"/>
    <w:rsid w:val="008F36E5"/>
    <w:rsid w:val="0096712A"/>
    <w:rsid w:val="009820FC"/>
    <w:rsid w:val="009A1CCD"/>
    <w:rsid w:val="009A529B"/>
    <w:rsid w:val="009F7593"/>
    <w:rsid w:val="00A002D4"/>
    <w:rsid w:val="00A102E5"/>
    <w:rsid w:val="00A27CC0"/>
    <w:rsid w:val="00A728EA"/>
    <w:rsid w:val="00A77BF9"/>
    <w:rsid w:val="00A915D4"/>
    <w:rsid w:val="00AA2652"/>
    <w:rsid w:val="00AA2FD9"/>
    <w:rsid w:val="00B00E25"/>
    <w:rsid w:val="00B31872"/>
    <w:rsid w:val="00BD76B8"/>
    <w:rsid w:val="00BE70FB"/>
    <w:rsid w:val="00BF346B"/>
    <w:rsid w:val="00C1295E"/>
    <w:rsid w:val="00C16DF6"/>
    <w:rsid w:val="00C30BBB"/>
    <w:rsid w:val="00C36595"/>
    <w:rsid w:val="00C4081A"/>
    <w:rsid w:val="00C53FE5"/>
    <w:rsid w:val="00C6757E"/>
    <w:rsid w:val="00C82977"/>
    <w:rsid w:val="00C86974"/>
    <w:rsid w:val="00CD33ED"/>
    <w:rsid w:val="00CF6639"/>
    <w:rsid w:val="00D0417D"/>
    <w:rsid w:val="00D31798"/>
    <w:rsid w:val="00DB7104"/>
    <w:rsid w:val="00E1773E"/>
    <w:rsid w:val="00E20ED1"/>
    <w:rsid w:val="00E21515"/>
    <w:rsid w:val="00E708BA"/>
    <w:rsid w:val="00E831DA"/>
    <w:rsid w:val="00EA30F7"/>
    <w:rsid w:val="00EC4553"/>
    <w:rsid w:val="00EE7D05"/>
    <w:rsid w:val="00F105F2"/>
    <w:rsid w:val="00F13CE6"/>
    <w:rsid w:val="00FB23F9"/>
    <w:rsid w:val="00FD1407"/>
    <w:rsid w:val="00FD457A"/>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67" w:after="0" w:line="240" w:lineRule="auto"/>
      <w:ind w:left="167" w:right="167"/>
      <w:outlineLvl w:val="1"/>
    </w:pPr>
    <w:rPr>
      <w:rFonts w:ascii="Arial" w:eastAsia="Arial" w:hAnsi="Arial" w:cs="Arial"/>
      <w:b/>
      <w:color w:val="21738D"/>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BD76B8"/>
    <w:pPr>
      <w:ind w:left="720"/>
      <w:contextualSpacing/>
    </w:pPr>
  </w:style>
  <w:style w:type="character" w:styleId="Hyperlink">
    <w:name w:val="Hyperlink"/>
    <w:basedOn w:val="DefaultParagraphFont"/>
    <w:uiPriority w:val="99"/>
    <w:unhideWhenUsed/>
    <w:rsid w:val="001659B5"/>
    <w:rPr>
      <w:color w:val="0000FF" w:themeColor="hyperlink"/>
      <w:u w:val="single"/>
    </w:rPr>
  </w:style>
  <w:style w:type="paragraph" w:styleId="NormalWeb">
    <w:name w:val="Normal (Web)"/>
    <w:basedOn w:val="Normal"/>
    <w:uiPriority w:val="99"/>
    <w:semiHidden/>
    <w:unhideWhenUsed/>
    <w:rsid w:val="001659B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3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B7"/>
  </w:style>
  <w:style w:type="paragraph" w:styleId="Footer">
    <w:name w:val="footer"/>
    <w:basedOn w:val="Normal"/>
    <w:link w:val="FooterChar"/>
    <w:uiPriority w:val="99"/>
    <w:unhideWhenUsed/>
    <w:rsid w:val="0073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67" w:after="0" w:line="240" w:lineRule="auto"/>
      <w:ind w:left="167" w:right="167"/>
      <w:outlineLvl w:val="1"/>
    </w:pPr>
    <w:rPr>
      <w:rFonts w:ascii="Arial" w:eastAsia="Arial" w:hAnsi="Arial" w:cs="Arial"/>
      <w:b/>
      <w:color w:val="21738D"/>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BD76B8"/>
    <w:pPr>
      <w:ind w:left="720"/>
      <w:contextualSpacing/>
    </w:pPr>
  </w:style>
  <w:style w:type="character" w:styleId="Hyperlink">
    <w:name w:val="Hyperlink"/>
    <w:basedOn w:val="DefaultParagraphFont"/>
    <w:uiPriority w:val="99"/>
    <w:unhideWhenUsed/>
    <w:rsid w:val="001659B5"/>
    <w:rPr>
      <w:color w:val="0000FF" w:themeColor="hyperlink"/>
      <w:u w:val="single"/>
    </w:rPr>
  </w:style>
  <w:style w:type="paragraph" w:styleId="NormalWeb">
    <w:name w:val="Normal (Web)"/>
    <w:basedOn w:val="Normal"/>
    <w:uiPriority w:val="99"/>
    <w:semiHidden/>
    <w:unhideWhenUsed/>
    <w:rsid w:val="001659B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3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B7"/>
  </w:style>
  <w:style w:type="paragraph" w:styleId="Footer">
    <w:name w:val="footer"/>
    <w:basedOn w:val="Normal"/>
    <w:link w:val="FooterChar"/>
    <w:uiPriority w:val="99"/>
    <w:unhideWhenUsed/>
    <w:rsid w:val="0073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875">
      <w:bodyDiv w:val="1"/>
      <w:marLeft w:val="0"/>
      <w:marRight w:val="0"/>
      <w:marTop w:val="0"/>
      <w:marBottom w:val="0"/>
      <w:divBdr>
        <w:top w:val="none" w:sz="0" w:space="0" w:color="auto"/>
        <w:left w:val="none" w:sz="0" w:space="0" w:color="auto"/>
        <w:bottom w:val="none" w:sz="0" w:space="0" w:color="auto"/>
        <w:right w:val="none" w:sz="0" w:space="0" w:color="auto"/>
      </w:divBdr>
    </w:div>
    <w:div w:id="363334198">
      <w:bodyDiv w:val="1"/>
      <w:marLeft w:val="0"/>
      <w:marRight w:val="0"/>
      <w:marTop w:val="0"/>
      <w:marBottom w:val="0"/>
      <w:divBdr>
        <w:top w:val="none" w:sz="0" w:space="0" w:color="auto"/>
        <w:left w:val="none" w:sz="0" w:space="0" w:color="auto"/>
        <w:bottom w:val="none" w:sz="0" w:space="0" w:color="auto"/>
        <w:right w:val="none" w:sz="0" w:space="0" w:color="auto"/>
      </w:divBdr>
    </w:div>
    <w:div w:id="150188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henationalcouncil.org/mac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drive.google.com/folderview?id=0B8Ij76B1HeFMYkdkU0VUSGdkOTg&amp;usp=sharing" TargetMode="External"/><Relationship Id="rId2" Type="http://schemas.openxmlformats.org/officeDocument/2006/relationships/hyperlink" Target="https://drive.google.com/folderview?id=0B8Ij76B1HeFMYkdkU0VUSGdkOTg&amp;usp=sharin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55E2-A2C3-4094-82B6-83ADEC52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Christian</dc:creator>
  <cp:lastModifiedBy>Sarah Dunagan</cp:lastModifiedBy>
  <cp:revision>2</cp:revision>
  <cp:lastPrinted>2016-06-14T20:15:00Z</cp:lastPrinted>
  <dcterms:created xsi:type="dcterms:W3CDTF">2017-01-24T13:44:00Z</dcterms:created>
  <dcterms:modified xsi:type="dcterms:W3CDTF">2017-01-24T13:44:00Z</dcterms:modified>
</cp:coreProperties>
</file>